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rPr>
          <w:rFonts w:ascii="宋体" w:hAnsi="宋体" w:eastAsia="宋体"/>
          <w:b/>
          <w:bCs/>
          <w:sz w:val="44"/>
          <w:szCs w:val="44"/>
        </w:rPr>
      </w:pPr>
    </w:p>
    <w:p>
      <w:pPr>
        <w:ind w:firstLine="0" w:firstLineChars="0"/>
        <w:rPr>
          <w:rFonts w:ascii="宋体" w:hAnsi="宋体" w:eastAsia="宋体"/>
          <w:b/>
          <w:bCs/>
          <w:sz w:val="44"/>
          <w:szCs w:val="44"/>
        </w:rPr>
      </w:pPr>
    </w:p>
    <w:p>
      <w:pPr>
        <w:ind w:firstLine="0" w:firstLineChars="0"/>
        <w:rPr>
          <w:rFonts w:ascii="宋体" w:hAnsi="宋体" w:eastAsia="宋体"/>
          <w:b/>
          <w:bCs/>
          <w:sz w:val="44"/>
          <w:szCs w:val="44"/>
        </w:rPr>
      </w:pPr>
    </w:p>
    <w:p>
      <w:pPr>
        <w:spacing w:line="480" w:lineRule="auto"/>
        <w:ind w:firstLine="0" w:firstLineChars="0"/>
        <w:jc w:val="center"/>
        <w:rPr>
          <w:rFonts w:ascii="宋体" w:hAnsi="宋体" w:eastAsia="宋体"/>
          <w:b/>
          <w:bCs/>
          <w:sz w:val="44"/>
          <w:szCs w:val="44"/>
        </w:rPr>
      </w:pPr>
      <w:r>
        <w:rPr>
          <w:rFonts w:ascii="宋体" w:hAnsi="宋体" w:eastAsia="宋体"/>
          <w:b/>
          <w:bCs/>
          <w:sz w:val="44"/>
          <w:szCs w:val="44"/>
        </w:rPr>
        <w:t>202</w:t>
      </w:r>
      <w:r>
        <w:rPr>
          <w:rFonts w:hint="eastAsia" w:ascii="宋体" w:hAnsi="宋体" w:eastAsia="宋体"/>
          <w:b/>
          <w:bCs/>
          <w:sz w:val="44"/>
          <w:szCs w:val="44"/>
        </w:rPr>
        <w:t>1</w:t>
      </w:r>
      <w:r>
        <w:rPr>
          <w:rFonts w:ascii="宋体" w:hAnsi="宋体" w:eastAsia="宋体"/>
          <w:b/>
          <w:bCs/>
          <w:sz w:val="44"/>
          <w:szCs w:val="44"/>
        </w:rPr>
        <w:t>年度</w:t>
      </w:r>
      <w:r>
        <w:rPr>
          <w:rFonts w:hint="eastAsia" w:ascii="宋体" w:hAnsi="宋体" w:eastAsia="宋体"/>
          <w:b/>
          <w:bCs/>
          <w:sz w:val="44"/>
          <w:szCs w:val="44"/>
        </w:rPr>
        <w:t>中国国民党革命委员会甘肃省委员会</w:t>
      </w:r>
      <w:r>
        <w:rPr>
          <w:rFonts w:ascii="宋体" w:hAnsi="宋体" w:eastAsia="宋体"/>
          <w:b/>
          <w:bCs/>
          <w:sz w:val="44"/>
          <w:szCs w:val="44"/>
        </w:rPr>
        <w:t>预算执行情况</w:t>
      </w:r>
      <w:r>
        <w:rPr>
          <w:rFonts w:hint="eastAsia" w:ascii="宋体" w:hAnsi="宋体" w:eastAsia="宋体"/>
          <w:b/>
          <w:bCs/>
          <w:sz w:val="44"/>
          <w:szCs w:val="44"/>
        </w:rPr>
        <w:t>绩效</w:t>
      </w:r>
      <w:r>
        <w:rPr>
          <w:rFonts w:ascii="宋体" w:hAnsi="宋体" w:eastAsia="宋体"/>
          <w:b/>
          <w:bCs/>
          <w:sz w:val="44"/>
          <w:szCs w:val="44"/>
        </w:rPr>
        <w:t>自评报告</w:t>
      </w:r>
    </w:p>
    <w:p>
      <w:pPr>
        <w:widowControl/>
        <w:ind w:firstLine="0" w:firstLineChars="0"/>
        <w:jc w:val="center"/>
        <w:rPr>
          <w:rFonts w:ascii="宋体" w:hAnsi="宋体" w:eastAsia="宋体"/>
          <w:b/>
          <w:bCs/>
          <w:sz w:val="44"/>
          <w:szCs w:val="44"/>
        </w:rPr>
      </w:pPr>
    </w:p>
    <w:p>
      <w:pPr>
        <w:ind w:firstLine="883"/>
        <w:jc w:val="center"/>
        <w:rPr>
          <w:rFonts w:ascii="宋体" w:hAnsi="宋体" w:eastAsia="宋体"/>
          <w:b/>
          <w:bCs/>
          <w:sz w:val="44"/>
          <w:szCs w:val="44"/>
        </w:rPr>
      </w:pPr>
    </w:p>
    <w:p>
      <w:pPr>
        <w:ind w:firstLine="883"/>
        <w:jc w:val="center"/>
        <w:rPr>
          <w:rFonts w:ascii="宋体" w:hAnsi="宋体" w:eastAsia="宋体"/>
          <w:b/>
          <w:bCs/>
          <w:sz w:val="44"/>
          <w:szCs w:val="44"/>
        </w:rPr>
      </w:pPr>
    </w:p>
    <w:p>
      <w:pPr>
        <w:ind w:firstLine="883"/>
        <w:jc w:val="center"/>
        <w:rPr>
          <w:rFonts w:ascii="宋体" w:hAnsi="宋体" w:eastAsia="宋体"/>
          <w:b/>
          <w:bCs/>
          <w:sz w:val="44"/>
          <w:szCs w:val="44"/>
        </w:rPr>
      </w:pPr>
    </w:p>
    <w:p>
      <w:pPr>
        <w:ind w:firstLine="883"/>
        <w:jc w:val="center"/>
        <w:rPr>
          <w:rFonts w:ascii="宋体" w:hAnsi="宋体" w:eastAsia="宋体"/>
          <w:b/>
          <w:bCs/>
          <w:sz w:val="44"/>
          <w:szCs w:val="44"/>
        </w:rPr>
      </w:pPr>
    </w:p>
    <w:p>
      <w:pPr>
        <w:ind w:firstLine="883"/>
        <w:jc w:val="center"/>
        <w:rPr>
          <w:rFonts w:ascii="宋体" w:hAnsi="宋体" w:eastAsia="宋体"/>
          <w:b/>
          <w:bCs/>
          <w:sz w:val="44"/>
          <w:szCs w:val="44"/>
        </w:rPr>
      </w:pPr>
    </w:p>
    <w:p>
      <w:pPr>
        <w:ind w:firstLine="883"/>
        <w:jc w:val="center"/>
        <w:rPr>
          <w:rFonts w:ascii="宋体" w:hAnsi="宋体" w:eastAsia="宋体"/>
          <w:b/>
          <w:bCs/>
          <w:sz w:val="44"/>
          <w:szCs w:val="44"/>
        </w:rPr>
      </w:pPr>
    </w:p>
    <w:p>
      <w:pPr>
        <w:ind w:firstLine="883"/>
        <w:jc w:val="center"/>
        <w:rPr>
          <w:rFonts w:ascii="宋体" w:hAnsi="宋体" w:eastAsia="宋体"/>
          <w:b/>
          <w:bCs/>
          <w:sz w:val="44"/>
          <w:szCs w:val="44"/>
        </w:rPr>
      </w:pPr>
    </w:p>
    <w:p>
      <w:pPr>
        <w:ind w:firstLine="883"/>
        <w:jc w:val="center"/>
        <w:rPr>
          <w:rFonts w:ascii="宋体" w:hAnsi="宋体" w:eastAsia="宋体"/>
          <w:b/>
          <w:bCs/>
          <w:sz w:val="44"/>
          <w:szCs w:val="44"/>
        </w:rPr>
      </w:pPr>
    </w:p>
    <w:p>
      <w:pPr>
        <w:ind w:firstLine="883"/>
        <w:jc w:val="center"/>
        <w:rPr>
          <w:rFonts w:ascii="宋体" w:hAnsi="宋体" w:eastAsia="宋体"/>
          <w:b/>
          <w:bCs/>
          <w:sz w:val="44"/>
          <w:szCs w:val="44"/>
        </w:rPr>
      </w:pPr>
    </w:p>
    <w:p>
      <w:pPr>
        <w:ind w:firstLine="0" w:firstLineChars="0"/>
        <w:jc w:val="center"/>
        <w:rPr>
          <w:rFonts w:ascii="宋体" w:hAnsi="宋体" w:eastAsia="宋体"/>
          <w:b/>
          <w:bCs/>
          <w:sz w:val="32"/>
          <w:szCs w:val="32"/>
        </w:rPr>
      </w:pPr>
      <w:r>
        <w:rPr>
          <w:rFonts w:hint="eastAsia" w:ascii="宋体" w:hAnsi="宋体" w:eastAsia="宋体"/>
          <w:b/>
          <w:bCs/>
          <w:sz w:val="32"/>
          <w:szCs w:val="32"/>
        </w:rPr>
        <w:t>中国国民党革命委员会甘肃省委员会</w:t>
      </w:r>
    </w:p>
    <w:p>
      <w:pPr>
        <w:ind w:firstLine="0" w:firstLineChars="0"/>
        <w:jc w:val="center"/>
        <w:rPr>
          <w:rFonts w:ascii="宋体" w:hAnsi="宋体" w:eastAsia="宋体"/>
          <w:b/>
          <w:bCs/>
          <w:sz w:val="32"/>
          <w:szCs w:val="32"/>
        </w:rPr>
      </w:pPr>
      <w:r>
        <w:rPr>
          <w:rFonts w:hint="eastAsia" w:ascii="宋体" w:hAnsi="宋体" w:eastAsia="宋体"/>
          <w:b/>
          <w:bCs/>
          <w:sz w:val="32"/>
          <w:szCs w:val="32"/>
        </w:rPr>
        <w:t>2022年</w:t>
      </w:r>
      <w:r>
        <w:rPr>
          <w:rFonts w:hint="eastAsia" w:ascii="宋体" w:hAnsi="宋体" w:eastAsia="宋体"/>
          <w:b/>
          <w:bCs/>
          <w:sz w:val="32"/>
          <w:szCs w:val="32"/>
          <w:lang w:val="en-US" w:eastAsia="zh-CN"/>
        </w:rPr>
        <w:t>7</w:t>
      </w:r>
      <w:r>
        <w:rPr>
          <w:rFonts w:hint="eastAsia" w:ascii="宋体" w:hAnsi="宋体" w:eastAsia="宋体"/>
          <w:b/>
          <w:bCs/>
          <w:sz w:val="32"/>
          <w:szCs w:val="32"/>
        </w:rPr>
        <w:t>月</w:t>
      </w:r>
      <w:r>
        <w:rPr>
          <w:rFonts w:hint="eastAsia" w:ascii="宋体" w:hAnsi="宋体" w:eastAsia="宋体"/>
          <w:b/>
          <w:bCs/>
          <w:sz w:val="32"/>
          <w:szCs w:val="32"/>
          <w:lang w:val="en-US" w:eastAsia="zh-CN"/>
        </w:rPr>
        <w:t>7</w:t>
      </w:r>
      <w:r>
        <w:rPr>
          <w:rFonts w:hint="eastAsia" w:ascii="宋体" w:hAnsi="宋体" w:eastAsia="宋体"/>
          <w:b/>
          <w:bCs/>
          <w:sz w:val="32"/>
          <w:szCs w:val="32"/>
        </w:rPr>
        <w:t>日</w:t>
      </w:r>
    </w:p>
    <w:sdt>
      <w:sdtPr>
        <w:rPr>
          <w:rFonts w:ascii="仿宋_GB2312" w:hAnsi="仿宋_GB2312" w:eastAsia="仿宋_GB2312" w:cstheme="minorBidi"/>
          <w:color w:val="auto"/>
          <w:kern w:val="2"/>
          <w:sz w:val="28"/>
          <w:szCs w:val="22"/>
          <w:lang w:val="zh-CN"/>
        </w:rPr>
        <w:id w:val="-435986753"/>
        <w:docPartObj>
          <w:docPartGallery w:val="Table of Contents"/>
          <w:docPartUnique/>
        </w:docPartObj>
      </w:sdtPr>
      <w:sdtEndPr>
        <w:rPr>
          <w:rFonts w:ascii="仿宋_GB2312" w:hAnsi="仿宋_GB2312" w:eastAsia="仿宋_GB2312" w:cstheme="minorBidi"/>
          <w:b/>
          <w:bCs/>
          <w:color w:val="auto"/>
          <w:kern w:val="2"/>
          <w:sz w:val="28"/>
          <w:szCs w:val="22"/>
          <w:lang w:val="zh-CN"/>
        </w:rPr>
      </w:sdtEndPr>
      <w:sdtContent>
        <w:p>
          <w:pPr>
            <w:pStyle w:val="30"/>
            <w:spacing w:line="360" w:lineRule="auto"/>
            <w:ind w:firstLine="560"/>
            <w:jc w:val="center"/>
            <w:rPr>
              <w:rFonts w:ascii="黑体" w:hAnsi="黑体" w:eastAsia="黑体"/>
              <w:color w:val="auto"/>
            </w:rPr>
          </w:pPr>
          <w:r>
            <w:rPr>
              <w:rFonts w:ascii="黑体" w:hAnsi="黑体" w:eastAsia="黑体"/>
              <w:color w:val="auto"/>
              <w:lang w:val="zh-CN"/>
            </w:rPr>
            <w:t>目</w:t>
          </w:r>
          <w:r>
            <w:rPr>
              <w:rFonts w:hint="eastAsia" w:ascii="黑体" w:hAnsi="黑体" w:eastAsia="黑体"/>
              <w:color w:val="auto"/>
              <w:lang w:val="zh-CN"/>
            </w:rPr>
            <w:t xml:space="preserve"> </w:t>
          </w:r>
          <w:r>
            <w:rPr>
              <w:rFonts w:ascii="黑体" w:hAnsi="黑体" w:eastAsia="黑体"/>
              <w:color w:val="auto"/>
              <w:lang w:val="zh-CN"/>
            </w:rPr>
            <w:t xml:space="preserve"> 录</w:t>
          </w:r>
        </w:p>
        <w:p>
          <w:pPr>
            <w:pStyle w:val="12"/>
            <w:rPr>
              <w:rFonts w:asciiTheme="minorHAnsi" w:hAnsiTheme="minorHAnsi" w:eastAsiaTheme="minorEastAsia"/>
              <w:b w:val="0"/>
              <w:bCs w:val="0"/>
              <w:sz w:val="21"/>
            </w:rPr>
          </w:pPr>
          <w:r>
            <w:fldChar w:fldCharType="begin"/>
          </w:r>
          <w:r>
            <w:instrText xml:space="preserve"> TOC \o "1-2" \h \z \u </w:instrText>
          </w:r>
          <w:r>
            <w:fldChar w:fldCharType="separate"/>
          </w:r>
          <w:r>
            <w:fldChar w:fldCharType="begin"/>
          </w:r>
          <w:r>
            <w:instrText xml:space="preserve"> HYPERLINK \l "_Toc96423014" </w:instrText>
          </w:r>
          <w:r>
            <w:fldChar w:fldCharType="separate"/>
          </w:r>
          <w:r>
            <w:rPr>
              <w:rStyle w:val="20"/>
            </w:rPr>
            <w:t>一、基本情况</w:t>
          </w:r>
          <w:r>
            <w:tab/>
          </w:r>
          <w:r>
            <w:fldChar w:fldCharType="begin"/>
          </w:r>
          <w:r>
            <w:instrText xml:space="preserve"> PAGEREF _Toc96423014 \h </w:instrText>
          </w:r>
          <w:r>
            <w:fldChar w:fldCharType="separate"/>
          </w:r>
          <w:r>
            <w:t>1</w:t>
          </w:r>
          <w:r>
            <w:fldChar w:fldCharType="end"/>
          </w:r>
          <w:r>
            <w:fldChar w:fldCharType="end"/>
          </w:r>
        </w:p>
        <w:p>
          <w:pPr>
            <w:pStyle w:val="13"/>
            <w:rPr>
              <w:rFonts w:asciiTheme="minorHAnsi" w:hAnsiTheme="minorHAnsi" w:eastAsiaTheme="minorEastAsia"/>
              <w:sz w:val="21"/>
            </w:rPr>
          </w:pPr>
          <w:r>
            <w:fldChar w:fldCharType="begin"/>
          </w:r>
          <w:r>
            <w:instrText xml:space="preserve"> HYPERLINK \l "_Toc96423015" </w:instrText>
          </w:r>
          <w:r>
            <w:fldChar w:fldCharType="separate"/>
          </w:r>
          <w:r>
            <w:rPr>
              <w:rStyle w:val="20"/>
            </w:rPr>
            <w:t>（一）部门主要职能</w:t>
          </w:r>
          <w:r>
            <w:tab/>
          </w:r>
          <w:r>
            <w:fldChar w:fldCharType="begin"/>
          </w:r>
          <w:r>
            <w:instrText xml:space="preserve"> PAGEREF _Toc96423015 \h </w:instrText>
          </w:r>
          <w:r>
            <w:fldChar w:fldCharType="separate"/>
          </w:r>
          <w:r>
            <w:t>1</w:t>
          </w:r>
          <w:r>
            <w:fldChar w:fldCharType="end"/>
          </w:r>
          <w:r>
            <w:fldChar w:fldCharType="end"/>
          </w:r>
        </w:p>
        <w:p>
          <w:pPr>
            <w:pStyle w:val="13"/>
            <w:rPr>
              <w:rFonts w:asciiTheme="minorHAnsi" w:hAnsiTheme="minorHAnsi" w:eastAsiaTheme="minorEastAsia"/>
              <w:sz w:val="21"/>
            </w:rPr>
          </w:pPr>
          <w:r>
            <w:fldChar w:fldCharType="begin"/>
          </w:r>
          <w:r>
            <w:instrText xml:space="preserve"> HYPERLINK \l "_Toc96423016" </w:instrText>
          </w:r>
          <w:r>
            <w:fldChar w:fldCharType="separate"/>
          </w:r>
          <w:r>
            <w:rPr>
              <w:rStyle w:val="20"/>
            </w:rPr>
            <w:t>（二）内设机构及所属单位概况</w:t>
          </w:r>
          <w:r>
            <w:tab/>
          </w:r>
          <w:r>
            <w:fldChar w:fldCharType="begin"/>
          </w:r>
          <w:r>
            <w:instrText xml:space="preserve"> PAGEREF _Toc96423016 \h </w:instrText>
          </w:r>
          <w:r>
            <w:fldChar w:fldCharType="separate"/>
          </w:r>
          <w:r>
            <w:t>2</w:t>
          </w:r>
          <w:r>
            <w:fldChar w:fldCharType="end"/>
          </w:r>
          <w:r>
            <w:fldChar w:fldCharType="end"/>
          </w:r>
        </w:p>
        <w:p>
          <w:pPr>
            <w:pStyle w:val="12"/>
            <w:rPr>
              <w:rFonts w:asciiTheme="minorHAnsi" w:hAnsiTheme="minorHAnsi" w:eastAsiaTheme="minorEastAsia"/>
              <w:b w:val="0"/>
              <w:bCs w:val="0"/>
              <w:sz w:val="21"/>
            </w:rPr>
          </w:pPr>
          <w:r>
            <w:fldChar w:fldCharType="begin"/>
          </w:r>
          <w:r>
            <w:instrText xml:space="preserve"> HYPERLINK \l "_Toc96423017" </w:instrText>
          </w:r>
          <w:r>
            <w:fldChar w:fldCharType="separate"/>
          </w:r>
          <w:r>
            <w:rPr>
              <w:rStyle w:val="20"/>
            </w:rPr>
            <w:t>二、绩效自评工作组织开展情况</w:t>
          </w:r>
          <w:r>
            <w:tab/>
          </w:r>
          <w:r>
            <w:fldChar w:fldCharType="begin"/>
          </w:r>
          <w:r>
            <w:instrText xml:space="preserve"> PAGEREF _Toc96423017 \h </w:instrText>
          </w:r>
          <w:r>
            <w:fldChar w:fldCharType="separate"/>
          </w:r>
          <w:r>
            <w:t>2</w:t>
          </w:r>
          <w:r>
            <w:fldChar w:fldCharType="end"/>
          </w:r>
          <w:r>
            <w:fldChar w:fldCharType="end"/>
          </w:r>
        </w:p>
        <w:p>
          <w:pPr>
            <w:pStyle w:val="13"/>
            <w:rPr>
              <w:rFonts w:asciiTheme="minorHAnsi" w:hAnsiTheme="minorHAnsi" w:eastAsiaTheme="minorEastAsia"/>
              <w:sz w:val="21"/>
            </w:rPr>
          </w:pPr>
          <w:r>
            <w:fldChar w:fldCharType="begin"/>
          </w:r>
          <w:r>
            <w:instrText xml:space="preserve"> HYPERLINK \l "_Toc96423018" </w:instrText>
          </w:r>
          <w:r>
            <w:fldChar w:fldCharType="separate"/>
          </w:r>
          <w:r>
            <w:rPr>
              <w:rStyle w:val="20"/>
            </w:rPr>
            <w:t>（一）自评对象和范围</w:t>
          </w:r>
          <w:r>
            <w:tab/>
          </w:r>
          <w:r>
            <w:fldChar w:fldCharType="begin"/>
          </w:r>
          <w:r>
            <w:instrText xml:space="preserve"> PAGEREF _Toc96423018 \h </w:instrText>
          </w:r>
          <w:r>
            <w:fldChar w:fldCharType="separate"/>
          </w:r>
          <w:r>
            <w:t>2</w:t>
          </w:r>
          <w:r>
            <w:fldChar w:fldCharType="end"/>
          </w:r>
          <w:r>
            <w:fldChar w:fldCharType="end"/>
          </w:r>
        </w:p>
        <w:p>
          <w:pPr>
            <w:pStyle w:val="13"/>
            <w:rPr>
              <w:rFonts w:asciiTheme="minorHAnsi" w:hAnsiTheme="minorHAnsi" w:eastAsiaTheme="minorEastAsia"/>
              <w:sz w:val="21"/>
            </w:rPr>
          </w:pPr>
          <w:r>
            <w:fldChar w:fldCharType="begin"/>
          </w:r>
          <w:r>
            <w:instrText xml:space="preserve"> HYPERLINK \l "_Toc96423019" </w:instrText>
          </w:r>
          <w:r>
            <w:fldChar w:fldCharType="separate"/>
          </w:r>
          <w:r>
            <w:rPr>
              <w:rStyle w:val="20"/>
            </w:rPr>
            <w:t>（二）自评组织管理情况</w:t>
          </w:r>
          <w:r>
            <w:tab/>
          </w:r>
          <w:r>
            <w:fldChar w:fldCharType="begin"/>
          </w:r>
          <w:r>
            <w:instrText xml:space="preserve"> PAGEREF _Toc96423019 \h </w:instrText>
          </w:r>
          <w:r>
            <w:fldChar w:fldCharType="separate"/>
          </w:r>
          <w:r>
            <w:t>2</w:t>
          </w:r>
          <w:r>
            <w:fldChar w:fldCharType="end"/>
          </w:r>
          <w:r>
            <w:fldChar w:fldCharType="end"/>
          </w:r>
        </w:p>
        <w:p>
          <w:pPr>
            <w:pStyle w:val="12"/>
            <w:rPr>
              <w:rFonts w:asciiTheme="minorHAnsi" w:hAnsiTheme="minorHAnsi" w:eastAsiaTheme="minorEastAsia"/>
              <w:b w:val="0"/>
              <w:bCs w:val="0"/>
              <w:sz w:val="21"/>
            </w:rPr>
          </w:pPr>
          <w:r>
            <w:fldChar w:fldCharType="begin"/>
          </w:r>
          <w:r>
            <w:instrText xml:space="preserve"> HYPERLINK \l "_Toc96423020" </w:instrText>
          </w:r>
          <w:r>
            <w:fldChar w:fldCharType="separate"/>
          </w:r>
          <w:r>
            <w:rPr>
              <w:rStyle w:val="20"/>
            </w:rPr>
            <w:t>三、部门整体支出绩效自评情况分析</w:t>
          </w:r>
          <w:r>
            <w:tab/>
          </w:r>
          <w:r>
            <w:fldChar w:fldCharType="begin"/>
          </w:r>
          <w:r>
            <w:instrText xml:space="preserve"> PAGEREF _Toc96423020 \h </w:instrText>
          </w:r>
          <w:r>
            <w:fldChar w:fldCharType="separate"/>
          </w:r>
          <w:r>
            <w:t>3</w:t>
          </w:r>
          <w:r>
            <w:fldChar w:fldCharType="end"/>
          </w:r>
          <w:r>
            <w:fldChar w:fldCharType="end"/>
          </w:r>
        </w:p>
        <w:p>
          <w:pPr>
            <w:pStyle w:val="13"/>
            <w:rPr>
              <w:rFonts w:asciiTheme="minorHAnsi" w:hAnsiTheme="minorHAnsi" w:eastAsiaTheme="minorEastAsia"/>
              <w:sz w:val="21"/>
            </w:rPr>
          </w:pPr>
          <w:r>
            <w:fldChar w:fldCharType="begin"/>
          </w:r>
          <w:r>
            <w:instrText xml:space="preserve"> HYPERLINK \l "_Toc96423021" </w:instrText>
          </w:r>
          <w:r>
            <w:fldChar w:fldCharType="separate"/>
          </w:r>
          <w:r>
            <w:rPr>
              <w:rStyle w:val="20"/>
            </w:rPr>
            <w:t>（一）部门决算情况</w:t>
          </w:r>
          <w:r>
            <w:tab/>
          </w:r>
          <w:r>
            <w:fldChar w:fldCharType="begin"/>
          </w:r>
          <w:r>
            <w:instrText xml:space="preserve"> PAGEREF _Toc96423021 \h </w:instrText>
          </w:r>
          <w:r>
            <w:fldChar w:fldCharType="separate"/>
          </w:r>
          <w:r>
            <w:t>3</w:t>
          </w:r>
          <w:r>
            <w:fldChar w:fldCharType="end"/>
          </w:r>
          <w:r>
            <w:fldChar w:fldCharType="end"/>
          </w:r>
        </w:p>
        <w:p>
          <w:pPr>
            <w:pStyle w:val="13"/>
            <w:rPr>
              <w:rFonts w:asciiTheme="minorHAnsi" w:hAnsiTheme="minorHAnsi" w:eastAsiaTheme="minorEastAsia"/>
              <w:sz w:val="21"/>
            </w:rPr>
          </w:pPr>
          <w:r>
            <w:fldChar w:fldCharType="begin"/>
          </w:r>
          <w:r>
            <w:instrText xml:space="preserve"> HYPERLINK \l "_Toc96423022" </w:instrText>
          </w:r>
          <w:r>
            <w:fldChar w:fldCharType="separate"/>
          </w:r>
          <w:r>
            <w:rPr>
              <w:rStyle w:val="20"/>
            </w:rPr>
            <w:t>（二）总体绩效目标完成情况分析</w:t>
          </w:r>
          <w:r>
            <w:tab/>
          </w:r>
          <w:r>
            <w:fldChar w:fldCharType="begin"/>
          </w:r>
          <w:r>
            <w:instrText xml:space="preserve"> PAGEREF _Toc96423022 \h </w:instrText>
          </w:r>
          <w:r>
            <w:fldChar w:fldCharType="separate"/>
          </w:r>
          <w:r>
            <w:t>4</w:t>
          </w:r>
          <w:r>
            <w:fldChar w:fldCharType="end"/>
          </w:r>
          <w:r>
            <w:fldChar w:fldCharType="end"/>
          </w:r>
        </w:p>
        <w:p>
          <w:pPr>
            <w:pStyle w:val="13"/>
            <w:rPr>
              <w:rFonts w:asciiTheme="minorHAnsi" w:hAnsiTheme="minorHAnsi" w:eastAsiaTheme="minorEastAsia"/>
              <w:sz w:val="21"/>
            </w:rPr>
          </w:pPr>
          <w:r>
            <w:fldChar w:fldCharType="begin"/>
          </w:r>
          <w:r>
            <w:instrText xml:space="preserve"> HYPERLINK \l "_Toc96423023" </w:instrText>
          </w:r>
          <w:r>
            <w:fldChar w:fldCharType="separate"/>
          </w:r>
          <w:r>
            <w:rPr>
              <w:rStyle w:val="20"/>
            </w:rPr>
            <w:t>（三）各项指标完成情况分析</w:t>
          </w:r>
          <w:r>
            <w:tab/>
          </w:r>
          <w:r>
            <w:fldChar w:fldCharType="begin"/>
          </w:r>
          <w:r>
            <w:instrText xml:space="preserve"> PAGEREF _Toc96423023 \h </w:instrText>
          </w:r>
          <w:r>
            <w:fldChar w:fldCharType="separate"/>
          </w:r>
          <w:r>
            <w:t>6</w:t>
          </w:r>
          <w:r>
            <w:fldChar w:fldCharType="end"/>
          </w:r>
          <w:r>
            <w:fldChar w:fldCharType="end"/>
          </w:r>
        </w:p>
        <w:p>
          <w:pPr>
            <w:pStyle w:val="13"/>
            <w:rPr>
              <w:rFonts w:asciiTheme="minorHAnsi" w:hAnsiTheme="minorHAnsi" w:eastAsiaTheme="minorEastAsia"/>
              <w:sz w:val="21"/>
            </w:rPr>
          </w:pPr>
          <w:r>
            <w:fldChar w:fldCharType="begin"/>
          </w:r>
          <w:r>
            <w:instrText xml:space="preserve"> HYPERLINK \l "_Toc96423024" </w:instrText>
          </w:r>
          <w:r>
            <w:fldChar w:fldCharType="separate"/>
          </w:r>
          <w:r>
            <w:rPr>
              <w:rStyle w:val="20"/>
            </w:rPr>
            <w:t>（四）偏离绩效目标的原因及下一步改进措施</w:t>
          </w:r>
          <w:r>
            <w:tab/>
          </w:r>
          <w:r>
            <w:fldChar w:fldCharType="begin"/>
          </w:r>
          <w:r>
            <w:instrText xml:space="preserve"> PAGEREF _Toc96423024 \h </w:instrText>
          </w:r>
          <w:r>
            <w:fldChar w:fldCharType="separate"/>
          </w:r>
          <w:r>
            <w:t>17</w:t>
          </w:r>
          <w:r>
            <w:fldChar w:fldCharType="end"/>
          </w:r>
          <w:r>
            <w:fldChar w:fldCharType="end"/>
          </w:r>
        </w:p>
        <w:p>
          <w:pPr>
            <w:pStyle w:val="12"/>
            <w:rPr>
              <w:rFonts w:asciiTheme="minorHAnsi" w:hAnsiTheme="minorHAnsi" w:eastAsiaTheme="minorEastAsia"/>
              <w:b w:val="0"/>
              <w:bCs w:val="0"/>
              <w:sz w:val="21"/>
            </w:rPr>
          </w:pPr>
          <w:r>
            <w:fldChar w:fldCharType="begin"/>
          </w:r>
          <w:r>
            <w:instrText xml:space="preserve"> HYPERLINK \l "_Toc96423025" </w:instrText>
          </w:r>
          <w:r>
            <w:fldChar w:fldCharType="separate"/>
          </w:r>
          <w:r>
            <w:rPr>
              <w:rStyle w:val="20"/>
            </w:rPr>
            <w:t>四、部门预算项目支出绩效自评情况分析</w:t>
          </w:r>
          <w:r>
            <w:tab/>
          </w:r>
          <w:r>
            <w:fldChar w:fldCharType="begin"/>
          </w:r>
          <w:r>
            <w:instrText xml:space="preserve"> PAGEREF _Toc96423025 \h </w:instrText>
          </w:r>
          <w:r>
            <w:fldChar w:fldCharType="separate"/>
          </w:r>
          <w:r>
            <w:t>18</w:t>
          </w:r>
          <w:r>
            <w:fldChar w:fldCharType="end"/>
          </w:r>
          <w:r>
            <w:fldChar w:fldCharType="end"/>
          </w:r>
        </w:p>
        <w:p>
          <w:pPr>
            <w:pStyle w:val="13"/>
            <w:rPr>
              <w:rFonts w:asciiTheme="minorHAnsi" w:hAnsiTheme="minorHAnsi" w:eastAsiaTheme="minorEastAsia"/>
              <w:sz w:val="21"/>
            </w:rPr>
          </w:pPr>
          <w:r>
            <w:fldChar w:fldCharType="begin"/>
          </w:r>
          <w:r>
            <w:instrText xml:space="preserve"> HYPERLINK \l "_Toc96423026" </w:instrText>
          </w:r>
          <w:r>
            <w:fldChar w:fldCharType="separate"/>
          </w:r>
          <w:r>
            <w:rPr>
              <w:rStyle w:val="20"/>
            </w:rPr>
            <w:t>（一）项目-主委特别费、培训费、调研费、业务费（部门本级）</w:t>
          </w:r>
          <w:r>
            <w:tab/>
          </w:r>
          <w:r>
            <w:fldChar w:fldCharType="begin"/>
          </w:r>
          <w:r>
            <w:instrText xml:space="preserve"> PAGEREF _Toc96423026 \h </w:instrText>
          </w:r>
          <w:r>
            <w:fldChar w:fldCharType="separate"/>
          </w:r>
          <w:r>
            <w:t>19</w:t>
          </w:r>
          <w:r>
            <w:fldChar w:fldCharType="end"/>
          </w:r>
          <w:r>
            <w:fldChar w:fldCharType="end"/>
          </w:r>
        </w:p>
        <w:p>
          <w:pPr>
            <w:pStyle w:val="12"/>
            <w:rPr>
              <w:rFonts w:asciiTheme="minorHAnsi" w:hAnsiTheme="minorHAnsi" w:eastAsiaTheme="minorEastAsia"/>
              <w:b w:val="0"/>
              <w:bCs w:val="0"/>
              <w:sz w:val="21"/>
            </w:rPr>
          </w:pPr>
          <w:r>
            <w:fldChar w:fldCharType="begin"/>
          </w:r>
          <w:r>
            <w:instrText xml:space="preserve"> HYPERLINK \l "_Toc96423027" </w:instrText>
          </w:r>
          <w:r>
            <w:fldChar w:fldCharType="separate"/>
          </w:r>
          <w:r>
            <w:rPr>
              <w:rStyle w:val="20"/>
            </w:rPr>
            <w:t>五、部门管理的省对市县转移支付绩效自评情况分析</w:t>
          </w:r>
          <w:r>
            <w:tab/>
          </w:r>
          <w:r>
            <w:fldChar w:fldCharType="begin"/>
          </w:r>
          <w:r>
            <w:instrText xml:space="preserve"> PAGEREF _Toc96423027 \h </w:instrText>
          </w:r>
          <w:r>
            <w:fldChar w:fldCharType="separate"/>
          </w:r>
          <w:r>
            <w:t>27</w:t>
          </w:r>
          <w:r>
            <w:fldChar w:fldCharType="end"/>
          </w:r>
          <w:r>
            <w:fldChar w:fldCharType="end"/>
          </w:r>
        </w:p>
        <w:p>
          <w:pPr>
            <w:pStyle w:val="12"/>
            <w:rPr>
              <w:rFonts w:asciiTheme="minorHAnsi" w:hAnsiTheme="minorHAnsi" w:eastAsiaTheme="minorEastAsia"/>
              <w:b w:val="0"/>
              <w:bCs w:val="0"/>
              <w:sz w:val="21"/>
            </w:rPr>
          </w:pPr>
          <w:r>
            <w:fldChar w:fldCharType="begin"/>
          </w:r>
          <w:r>
            <w:instrText xml:space="preserve"> HYPERLINK \l "_Toc96423028" </w:instrText>
          </w:r>
          <w:r>
            <w:fldChar w:fldCharType="separate"/>
          </w:r>
          <w:r>
            <w:rPr>
              <w:rStyle w:val="20"/>
            </w:rPr>
            <w:t>六、绩效自评结果拟应用和公开情况</w:t>
          </w:r>
          <w:r>
            <w:tab/>
          </w:r>
          <w:r>
            <w:fldChar w:fldCharType="begin"/>
          </w:r>
          <w:r>
            <w:instrText xml:space="preserve"> PAGEREF _Toc96423028 \h </w:instrText>
          </w:r>
          <w:r>
            <w:fldChar w:fldCharType="separate"/>
          </w:r>
          <w:r>
            <w:t>27</w:t>
          </w:r>
          <w:r>
            <w:fldChar w:fldCharType="end"/>
          </w:r>
          <w:r>
            <w:fldChar w:fldCharType="end"/>
          </w:r>
        </w:p>
        <w:p>
          <w:pPr>
            <w:pStyle w:val="12"/>
            <w:rPr>
              <w:rFonts w:asciiTheme="minorHAnsi" w:hAnsiTheme="minorHAnsi" w:eastAsiaTheme="minorEastAsia"/>
              <w:b w:val="0"/>
              <w:bCs w:val="0"/>
              <w:sz w:val="21"/>
            </w:rPr>
          </w:pPr>
          <w:r>
            <w:fldChar w:fldCharType="begin"/>
          </w:r>
          <w:r>
            <w:instrText xml:space="preserve"> HYPERLINK \l "_Toc96423029" </w:instrText>
          </w:r>
          <w:r>
            <w:fldChar w:fldCharType="separate"/>
          </w:r>
          <w:r>
            <w:rPr>
              <w:rStyle w:val="20"/>
            </w:rPr>
            <w:t>七、其他需要说明的问题</w:t>
          </w:r>
          <w:r>
            <w:tab/>
          </w:r>
          <w:r>
            <w:fldChar w:fldCharType="begin"/>
          </w:r>
          <w:r>
            <w:instrText xml:space="preserve"> PAGEREF _Toc96423029 \h </w:instrText>
          </w:r>
          <w:r>
            <w:fldChar w:fldCharType="separate"/>
          </w:r>
          <w:r>
            <w:t>27</w:t>
          </w:r>
          <w:r>
            <w:fldChar w:fldCharType="end"/>
          </w:r>
          <w:r>
            <w:fldChar w:fldCharType="end"/>
          </w:r>
        </w:p>
        <w:p>
          <w:pPr>
            <w:ind w:firstLine="0" w:firstLineChars="0"/>
          </w:pPr>
          <w:r>
            <w:fldChar w:fldCharType="end"/>
          </w:r>
        </w:p>
      </w:sdtContent>
    </w:sdt>
    <w:p>
      <w:pPr>
        <w:widowControl/>
        <w:ind w:firstLine="643"/>
        <w:jc w:val="left"/>
        <w:rPr>
          <w:rFonts w:hAnsi="宋体"/>
          <w:b/>
          <w:bCs/>
          <w:szCs w:val="32"/>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1"/>
          <w:cols w:space="425" w:num="1"/>
          <w:docGrid w:type="lines" w:linePitch="381" w:charSpace="0"/>
        </w:sectPr>
      </w:pPr>
      <w:r>
        <w:rPr>
          <w:rFonts w:ascii="宋体" w:hAnsi="宋体" w:eastAsia="宋体"/>
          <w:b/>
          <w:bCs/>
          <w:sz w:val="32"/>
          <w:szCs w:val="32"/>
        </w:rPr>
        <w:br w:type="page"/>
      </w:r>
      <w:bookmarkStart w:id="0" w:name="_Toc40046020"/>
    </w:p>
    <w:p>
      <w:pPr>
        <w:pStyle w:val="2"/>
      </w:pPr>
      <w:bookmarkStart w:id="1" w:name="_Toc96423014"/>
      <w:r>
        <w:rPr>
          <w:rFonts w:hint="eastAsia"/>
        </w:rPr>
        <w:t>一、基本情况</w:t>
      </w:r>
      <w:bookmarkEnd w:id="0"/>
      <w:bookmarkEnd w:id="1"/>
    </w:p>
    <w:p>
      <w:pPr>
        <w:pStyle w:val="3"/>
        <w:ind w:firstLine="643"/>
      </w:pPr>
      <w:bookmarkStart w:id="2" w:name="_Toc40046021"/>
      <w:bookmarkStart w:id="3" w:name="_Toc96423015"/>
      <w:r>
        <w:rPr>
          <w:rFonts w:hint="eastAsia"/>
        </w:rPr>
        <w:t>（一）部门主要职能</w:t>
      </w:r>
      <w:bookmarkEnd w:id="2"/>
      <w:bookmarkEnd w:id="3"/>
    </w:p>
    <w:p>
      <w:pPr>
        <w:ind w:firstLine="560"/>
        <w:rPr>
          <w:szCs w:val="28"/>
        </w:rPr>
      </w:pPr>
      <w:r>
        <w:rPr>
          <w:rFonts w:hint="eastAsia"/>
          <w:szCs w:val="28"/>
        </w:rPr>
        <w:t>中国国民党革命委员会（简称“民革”），是具有政治联盟性质的、致力于建设中国特色社会主义和祖国统一事业的政党，是中国共产党领导的多党合作和政治协商制度中的参政党。民革甘肃省委会是在中共甘肃省委领导下的民革省级组织，民革甘肃省委会机关是民革组织开展参政议政、社会服务、促进祖国和平统一等各项工作的载体。其主要职责是:</w:t>
      </w:r>
    </w:p>
    <w:p>
      <w:pPr>
        <w:ind w:firstLine="560"/>
        <w:rPr>
          <w:rFonts w:hAnsi="宋体"/>
          <w:szCs w:val="28"/>
        </w:rPr>
      </w:pPr>
      <w:r>
        <w:rPr>
          <w:rFonts w:hint="eastAsia" w:hAnsi="宋体"/>
          <w:szCs w:val="28"/>
        </w:rPr>
        <w:t>1、宣传、贯彻中国共产党和国家的方针、政策，配合我省中心任务，独立自主、创造性地开展工作，发挥参政党作用。</w:t>
      </w:r>
    </w:p>
    <w:p>
      <w:pPr>
        <w:ind w:firstLine="560"/>
        <w:rPr>
          <w:rFonts w:hAnsi="宋体"/>
          <w:szCs w:val="28"/>
        </w:rPr>
      </w:pPr>
      <w:r>
        <w:rPr>
          <w:rFonts w:hint="eastAsia" w:hAnsi="宋体"/>
          <w:szCs w:val="28"/>
        </w:rPr>
        <w:t>2、贯彻民革中央的组织路线，制定全省组织发展计划和实施方案，并组织实施。</w:t>
      </w:r>
    </w:p>
    <w:p>
      <w:pPr>
        <w:ind w:firstLine="560"/>
        <w:rPr>
          <w:rFonts w:hAnsi="宋体"/>
          <w:szCs w:val="28"/>
        </w:rPr>
      </w:pPr>
      <w:r>
        <w:rPr>
          <w:rFonts w:hint="eastAsia" w:hAnsi="宋体"/>
          <w:szCs w:val="28"/>
        </w:rPr>
        <w:t>3、组织、指导全省各级民革组织及党员进行调研，进行参政议政、民主监督、参加中国共产党领导的政治协商，反映社情民意的各项工作，献计出力。</w:t>
      </w:r>
    </w:p>
    <w:p>
      <w:pPr>
        <w:ind w:firstLine="560"/>
        <w:rPr>
          <w:rFonts w:hAnsi="宋体"/>
          <w:szCs w:val="28"/>
        </w:rPr>
      </w:pPr>
      <w:r>
        <w:rPr>
          <w:rFonts w:hint="eastAsia" w:hAnsi="宋体"/>
          <w:szCs w:val="28"/>
        </w:rPr>
        <w:t>4、宣传和贯彻“和平统一、一国两制”的方针，动员和组织全省民革党员，为组织祖国和平统一而努力。</w:t>
      </w:r>
    </w:p>
    <w:p>
      <w:pPr>
        <w:ind w:firstLine="560"/>
        <w:rPr>
          <w:rFonts w:hAnsi="宋体"/>
          <w:szCs w:val="28"/>
        </w:rPr>
      </w:pPr>
      <w:r>
        <w:rPr>
          <w:rFonts w:hint="eastAsia" w:hAnsi="宋体"/>
          <w:szCs w:val="28"/>
        </w:rPr>
        <w:t>5、宣传贯彻以经济建设为中心的方针，组织、推动民革党员立足本职、深入调研，在经济建设中开展广泛的服务和贡献活动。</w:t>
      </w:r>
    </w:p>
    <w:p>
      <w:pPr>
        <w:ind w:firstLine="560"/>
        <w:rPr>
          <w:rFonts w:hAnsi="宋体"/>
          <w:szCs w:val="28"/>
        </w:rPr>
      </w:pPr>
      <w:r>
        <w:rPr>
          <w:rFonts w:hint="eastAsia" w:hAnsi="宋体"/>
          <w:szCs w:val="28"/>
        </w:rPr>
        <w:t>6、与各级中共党委、人大加强联系，发挥民革在政协的积极作用,同担任人大代表、政协委员的民革党员加强联系，更好地履行职责。</w:t>
      </w:r>
    </w:p>
    <w:p>
      <w:pPr>
        <w:ind w:firstLine="560"/>
        <w:rPr>
          <w:rFonts w:hAnsi="宋体"/>
          <w:szCs w:val="28"/>
        </w:rPr>
      </w:pPr>
      <w:r>
        <w:rPr>
          <w:rFonts w:hint="eastAsia" w:hAnsi="宋体"/>
          <w:szCs w:val="28"/>
        </w:rPr>
        <w:t>7、通过各项工作的开展，发展和培养人才，向各级政府和社会各方面推荐人才，为发挥他们的才智专长创造条件。</w:t>
      </w:r>
    </w:p>
    <w:p>
      <w:pPr>
        <w:pStyle w:val="3"/>
        <w:ind w:firstLine="643"/>
      </w:pPr>
      <w:bookmarkStart w:id="4" w:name="_Toc96423016"/>
      <w:bookmarkStart w:id="5" w:name="_Toc40046022"/>
      <w:r>
        <w:rPr>
          <w:rFonts w:hint="eastAsia"/>
        </w:rPr>
        <w:t>（二）内设机构及所属单位概况</w:t>
      </w:r>
      <w:bookmarkEnd w:id="4"/>
      <w:bookmarkEnd w:id="5"/>
    </w:p>
    <w:p>
      <w:pPr>
        <w:ind w:firstLine="560"/>
      </w:pPr>
      <w:r>
        <w:rPr>
          <w:rFonts w:hint="eastAsia"/>
        </w:rPr>
        <w:t>根据上述职责，民革甘肃省委会下设办公室、组织处、宣传处、社会服务处、联络处、和调查研究室，共计6个处室。</w:t>
      </w:r>
      <w:bookmarkStart w:id="6" w:name="_Toc40046023"/>
    </w:p>
    <w:p>
      <w:pPr>
        <w:pStyle w:val="2"/>
      </w:pPr>
      <w:bookmarkStart w:id="7" w:name="_Toc96423017"/>
      <w:r>
        <w:rPr>
          <w:rFonts w:hint="eastAsia"/>
        </w:rPr>
        <w:t>二、绩效自评工作组织开展情况</w:t>
      </w:r>
      <w:bookmarkEnd w:id="6"/>
      <w:bookmarkEnd w:id="7"/>
    </w:p>
    <w:p>
      <w:pPr>
        <w:pStyle w:val="3"/>
        <w:ind w:firstLine="643"/>
      </w:pPr>
      <w:bookmarkStart w:id="8" w:name="_Toc96423018"/>
      <w:bookmarkStart w:id="9" w:name="_Toc39825246"/>
      <w:bookmarkStart w:id="10" w:name="_Toc40800044"/>
      <w:r>
        <w:rPr>
          <w:rFonts w:hint="eastAsia"/>
        </w:rPr>
        <w:t>（一）自评对象和范围</w:t>
      </w:r>
      <w:bookmarkEnd w:id="8"/>
      <w:bookmarkEnd w:id="9"/>
      <w:bookmarkEnd w:id="10"/>
    </w:p>
    <w:p>
      <w:pPr>
        <w:ind w:firstLine="560"/>
        <w:rPr>
          <w:rFonts w:hAnsi="仿宋"/>
          <w:szCs w:val="32"/>
        </w:rPr>
      </w:pPr>
      <w:r>
        <w:rPr>
          <w:rFonts w:hint="eastAsia" w:hAnsi="仿宋"/>
          <w:szCs w:val="32"/>
        </w:rPr>
        <w:t>根据</w:t>
      </w:r>
      <w:r>
        <w:rPr>
          <w:rFonts w:hint="eastAsia" w:hAnsi="宋体"/>
          <w:szCs w:val="28"/>
        </w:rPr>
        <w:t>《甘肃省财政厅关于开展</w:t>
      </w:r>
      <w:r>
        <w:rPr>
          <w:rFonts w:hAnsi="宋体"/>
          <w:szCs w:val="28"/>
        </w:rPr>
        <w:t>202</w:t>
      </w:r>
      <w:r>
        <w:rPr>
          <w:rFonts w:hint="eastAsia" w:hAnsi="宋体"/>
          <w:szCs w:val="28"/>
        </w:rPr>
        <w:t>1</w:t>
      </w:r>
      <w:r>
        <w:rPr>
          <w:rFonts w:hAnsi="宋体"/>
          <w:szCs w:val="28"/>
        </w:rPr>
        <w:t>年度省级预算执行情况绩效</w:t>
      </w:r>
      <w:r>
        <w:rPr>
          <w:rFonts w:hint="eastAsia" w:hAnsi="宋体"/>
          <w:szCs w:val="28"/>
        </w:rPr>
        <w:t>自评</w:t>
      </w:r>
      <w:r>
        <w:rPr>
          <w:rFonts w:hAnsi="宋体"/>
          <w:szCs w:val="28"/>
        </w:rPr>
        <w:t>工作的通知》（甘财绩〔202</w:t>
      </w:r>
      <w:r>
        <w:rPr>
          <w:rFonts w:hint="eastAsia" w:hAnsi="宋体"/>
          <w:szCs w:val="28"/>
        </w:rPr>
        <w:t>1</w:t>
      </w:r>
      <w:r>
        <w:rPr>
          <w:rFonts w:hAnsi="宋体"/>
          <w:szCs w:val="28"/>
        </w:rPr>
        <w:t>〕</w:t>
      </w:r>
      <w:r>
        <w:rPr>
          <w:rFonts w:hint="eastAsia" w:hAnsi="宋体"/>
          <w:szCs w:val="28"/>
        </w:rPr>
        <w:t>8</w:t>
      </w:r>
      <w:r>
        <w:rPr>
          <w:rFonts w:hAnsi="宋体"/>
          <w:szCs w:val="28"/>
        </w:rPr>
        <w:t>号）</w:t>
      </w:r>
      <w:r>
        <w:rPr>
          <w:rFonts w:hint="eastAsia" w:hAnsi="仿宋"/>
          <w:szCs w:val="32"/>
        </w:rPr>
        <w:t>文对于本次预算绩效自评价的要求，按照省级部门项目支出、省对市县转移支付、部门（单位）整体支出三类评价对象全覆盖的原则，结合我单位实际情况，自评价对象为中国国民党革命委员会甘肃省委员会单位整体支出自评和“主委特别费、培训费、调研费、业务费（部门本级）”项目支出自评。</w:t>
      </w:r>
    </w:p>
    <w:p>
      <w:pPr>
        <w:pStyle w:val="3"/>
        <w:ind w:firstLine="643"/>
      </w:pPr>
      <w:bookmarkStart w:id="11" w:name="_Toc39825247"/>
      <w:bookmarkStart w:id="12" w:name="_Toc40800045"/>
      <w:bookmarkStart w:id="13" w:name="_Toc96423019"/>
      <w:r>
        <w:rPr>
          <w:rFonts w:hint="eastAsia"/>
        </w:rPr>
        <w:t>（二）自评组织管理情况</w:t>
      </w:r>
      <w:bookmarkEnd w:id="11"/>
      <w:bookmarkEnd w:id="12"/>
      <w:bookmarkEnd w:id="13"/>
    </w:p>
    <w:p>
      <w:pPr>
        <w:ind w:firstLine="560"/>
        <w:rPr>
          <w:rFonts w:hAnsi="仿宋"/>
          <w:szCs w:val="32"/>
        </w:rPr>
      </w:pPr>
      <w:r>
        <w:rPr>
          <w:rFonts w:hint="eastAsia" w:hAnsi="仿宋"/>
          <w:szCs w:val="32"/>
        </w:rPr>
        <w:t>我单位严格按照甘财绩〔2021〕8号的要求积极开展本次自评工作，由财务部门进行牵头，各个相关处室协调配合，按照以下流程进行：</w:t>
      </w:r>
    </w:p>
    <w:p>
      <w:pPr>
        <w:pStyle w:val="4"/>
        <w:ind w:firstLine="562"/>
      </w:pPr>
      <w:bookmarkStart w:id="14" w:name="_Toc39825248"/>
      <w:r>
        <w:rPr>
          <w:rFonts w:hint="eastAsia"/>
        </w:rPr>
        <w:t>1、安排部署</w:t>
      </w:r>
      <w:bookmarkEnd w:id="14"/>
    </w:p>
    <w:p>
      <w:pPr>
        <w:ind w:firstLine="560"/>
        <w:rPr>
          <w:rFonts w:hAnsi="仿宋"/>
          <w:szCs w:val="32"/>
        </w:rPr>
      </w:pPr>
      <w:r>
        <w:rPr>
          <w:rFonts w:hint="eastAsia" w:hAnsi="宋体"/>
          <w:szCs w:val="28"/>
        </w:rPr>
        <w:t>我单位严格按照《</w:t>
      </w:r>
      <w:r>
        <w:rPr>
          <w:rFonts w:hAnsi="宋体"/>
          <w:szCs w:val="28"/>
        </w:rPr>
        <w:t>关于全面实施预算绩效管理的意见》（中发〔2018〕34号）</w:t>
      </w:r>
      <w:r>
        <w:rPr>
          <w:rFonts w:hint="eastAsia" w:hAnsi="宋体"/>
          <w:szCs w:val="28"/>
        </w:rPr>
        <w:t>、中共甘肃省委甘肃省人民政府《关于全面实施预算绩效管理的实施意见》（甘发〔</w:t>
      </w:r>
      <w:r>
        <w:rPr>
          <w:rFonts w:hAnsi="宋体"/>
          <w:szCs w:val="28"/>
        </w:rPr>
        <w:t>2018〕32号）</w:t>
      </w:r>
      <w:r>
        <w:rPr>
          <w:rFonts w:hint="eastAsia" w:hAnsi="宋体"/>
          <w:szCs w:val="28"/>
        </w:rPr>
        <w:t>、《甘肃省财政厅关于开展</w:t>
      </w:r>
      <w:r>
        <w:rPr>
          <w:rFonts w:hAnsi="宋体"/>
          <w:szCs w:val="28"/>
        </w:rPr>
        <w:t>202</w:t>
      </w:r>
      <w:r>
        <w:rPr>
          <w:rFonts w:hint="eastAsia" w:hAnsi="宋体"/>
          <w:szCs w:val="28"/>
        </w:rPr>
        <w:t>1</w:t>
      </w:r>
      <w:r>
        <w:rPr>
          <w:rFonts w:hAnsi="宋体"/>
          <w:szCs w:val="28"/>
        </w:rPr>
        <w:t>年度省级预算执行情况绩效</w:t>
      </w:r>
      <w:r>
        <w:rPr>
          <w:rFonts w:hint="eastAsia" w:hAnsi="宋体"/>
          <w:szCs w:val="28"/>
        </w:rPr>
        <w:t>自评</w:t>
      </w:r>
      <w:r>
        <w:rPr>
          <w:rFonts w:hAnsi="宋体"/>
          <w:szCs w:val="28"/>
        </w:rPr>
        <w:t>工作的通知》（甘财绩〔202</w:t>
      </w:r>
      <w:r>
        <w:rPr>
          <w:rFonts w:hint="eastAsia" w:hAnsi="宋体"/>
          <w:szCs w:val="28"/>
        </w:rPr>
        <w:t>1</w:t>
      </w:r>
      <w:r>
        <w:rPr>
          <w:rFonts w:hAnsi="宋体"/>
          <w:szCs w:val="28"/>
        </w:rPr>
        <w:t>〕</w:t>
      </w:r>
      <w:r>
        <w:rPr>
          <w:rFonts w:hint="eastAsia" w:hAnsi="宋体"/>
          <w:szCs w:val="28"/>
        </w:rPr>
        <w:t>8</w:t>
      </w:r>
      <w:r>
        <w:rPr>
          <w:rFonts w:hAnsi="宋体"/>
          <w:szCs w:val="28"/>
        </w:rPr>
        <w:t>号）</w:t>
      </w:r>
      <w:r>
        <w:rPr>
          <w:rFonts w:hint="eastAsia" w:hAnsi="宋体"/>
          <w:szCs w:val="28"/>
        </w:rPr>
        <w:t>等文件要求，</w:t>
      </w:r>
      <w:r>
        <w:rPr>
          <w:rFonts w:hAnsi="宋体"/>
          <w:szCs w:val="28"/>
        </w:rPr>
        <w:t>联合各相关业务部门共同</w:t>
      </w:r>
      <w:r>
        <w:rPr>
          <w:rFonts w:hint="eastAsia" w:hAnsi="宋体"/>
          <w:szCs w:val="28"/>
        </w:rPr>
        <w:t>完成此次自评工作。</w:t>
      </w:r>
    </w:p>
    <w:p>
      <w:pPr>
        <w:pStyle w:val="4"/>
        <w:ind w:firstLine="562"/>
        <w:rPr>
          <w:szCs w:val="28"/>
        </w:rPr>
      </w:pPr>
      <w:bookmarkStart w:id="15" w:name="_Toc39825249"/>
      <w:r>
        <w:rPr>
          <w:rFonts w:hint="eastAsia"/>
          <w:szCs w:val="28"/>
        </w:rPr>
        <w:t>2、自评分析</w:t>
      </w:r>
      <w:bookmarkEnd w:id="15"/>
    </w:p>
    <w:p>
      <w:pPr>
        <w:ind w:firstLine="560"/>
        <w:rPr>
          <w:rFonts w:hAnsi="宋体"/>
          <w:szCs w:val="28"/>
        </w:rPr>
      </w:pPr>
      <w:r>
        <w:rPr>
          <w:rFonts w:hint="eastAsia" w:hAnsi="宋体"/>
          <w:szCs w:val="28"/>
        </w:rPr>
        <w:t>根据单位整体财务数据分析预算执行情况，通过各业务处室收集整理20</w:t>
      </w:r>
      <w:r>
        <w:rPr>
          <w:rFonts w:hAnsi="宋体"/>
          <w:szCs w:val="28"/>
        </w:rPr>
        <w:t>2</w:t>
      </w:r>
      <w:r>
        <w:rPr>
          <w:rFonts w:hint="eastAsia" w:hAnsi="宋体"/>
          <w:szCs w:val="28"/>
        </w:rPr>
        <w:t>1年度重点工作实际完成的相关数据材料，与20</w:t>
      </w:r>
      <w:r>
        <w:rPr>
          <w:rFonts w:hAnsi="宋体"/>
          <w:szCs w:val="28"/>
        </w:rPr>
        <w:t>2</w:t>
      </w:r>
      <w:r>
        <w:rPr>
          <w:rFonts w:hint="eastAsia" w:hAnsi="宋体"/>
          <w:szCs w:val="28"/>
        </w:rPr>
        <w:t>1年初的工作计划和预期目标进行对比分析，完成部门绩效自评工作。填写《</w:t>
      </w:r>
      <w:r>
        <w:rPr>
          <w:rFonts w:hAnsi="宋体"/>
          <w:szCs w:val="28"/>
        </w:rPr>
        <w:t>202</w:t>
      </w:r>
      <w:r>
        <w:rPr>
          <w:rFonts w:hint="eastAsia" w:hAnsi="宋体"/>
          <w:szCs w:val="28"/>
        </w:rPr>
        <w:t>1</w:t>
      </w:r>
      <w:r>
        <w:rPr>
          <w:rFonts w:hAnsi="宋体"/>
          <w:szCs w:val="28"/>
        </w:rPr>
        <w:t>年度</w:t>
      </w:r>
      <w:r>
        <w:rPr>
          <w:rFonts w:hint="eastAsia" w:hAnsi="仿宋"/>
          <w:szCs w:val="32"/>
        </w:rPr>
        <w:t>中国国民党革命委员会甘肃省委员会</w:t>
      </w:r>
      <w:r>
        <w:rPr>
          <w:rFonts w:hint="eastAsia" w:hAnsi="宋体"/>
          <w:szCs w:val="28"/>
        </w:rPr>
        <w:t>预算执行情况绩效自评</w:t>
      </w:r>
      <w:r>
        <w:rPr>
          <w:rFonts w:hAnsi="宋体"/>
          <w:szCs w:val="28"/>
        </w:rPr>
        <w:t>表</w:t>
      </w:r>
      <w:r>
        <w:rPr>
          <w:rFonts w:hint="eastAsia" w:hAnsi="宋体"/>
          <w:szCs w:val="28"/>
        </w:rPr>
        <w:t>》，并完成《2021年度中国国民党革命委员会甘肃省委员会预算执行情况绩效自评报告》。</w:t>
      </w:r>
    </w:p>
    <w:p>
      <w:pPr>
        <w:pStyle w:val="4"/>
        <w:ind w:firstLine="562"/>
        <w:rPr>
          <w:szCs w:val="28"/>
        </w:rPr>
      </w:pPr>
      <w:bookmarkStart w:id="16" w:name="_Toc39825250"/>
      <w:r>
        <w:rPr>
          <w:rFonts w:hint="eastAsia"/>
          <w:szCs w:val="28"/>
        </w:rPr>
        <w:t>3、审核报送</w:t>
      </w:r>
      <w:bookmarkEnd w:id="16"/>
    </w:p>
    <w:p>
      <w:pPr>
        <w:ind w:firstLine="560"/>
        <w:rPr>
          <w:rFonts w:hAnsi="仿宋"/>
          <w:szCs w:val="32"/>
        </w:rPr>
      </w:pPr>
      <w:r>
        <w:rPr>
          <w:rFonts w:hint="eastAsia" w:hAnsi="仿宋"/>
          <w:szCs w:val="32"/>
        </w:rPr>
        <w:t>自评表和自评报告完成之后，由财务部门进行内部审核，对自评表的真实性、完整性、合理性和客观性进行初步审核，对发现的问题及时反馈和修改，修改完善后报送省财政厅审核备案。</w:t>
      </w:r>
    </w:p>
    <w:p>
      <w:pPr>
        <w:pStyle w:val="2"/>
      </w:pPr>
      <w:bookmarkStart w:id="17" w:name="_Toc40046026"/>
      <w:bookmarkStart w:id="18" w:name="_Toc96423020"/>
      <w:r>
        <w:rPr>
          <w:rFonts w:hint="eastAsia"/>
        </w:rPr>
        <w:t>三、部门整体支出绩效自评情况分析</w:t>
      </w:r>
      <w:bookmarkEnd w:id="17"/>
      <w:bookmarkEnd w:id="18"/>
    </w:p>
    <w:p>
      <w:pPr>
        <w:pStyle w:val="3"/>
        <w:ind w:firstLine="643"/>
      </w:pPr>
      <w:bookmarkStart w:id="19" w:name="_Toc96423021"/>
      <w:bookmarkStart w:id="20" w:name="_Toc40046027"/>
      <w:r>
        <w:rPr>
          <w:rFonts w:hint="eastAsia"/>
        </w:rPr>
        <w:t>（一）部门决算情况</w:t>
      </w:r>
      <w:bookmarkEnd w:id="19"/>
      <w:bookmarkEnd w:id="20"/>
    </w:p>
    <w:p>
      <w:pPr>
        <w:ind w:firstLine="560"/>
        <w:rPr>
          <w:rFonts w:hAnsi="宋体"/>
          <w:szCs w:val="28"/>
        </w:rPr>
      </w:pPr>
      <w:bookmarkStart w:id="21" w:name="_Hlk62564299"/>
      <w:bookmarkStart w:id="22" w:name="_Toc40046028"/>
      <w:r>
        <w:rPr>
          <w:rFonts w:hAnsi="宋体"/>
          <w:szCs w:val="28"/>
        </w:rPr>
        <w:t>202</w:t>
      </w:r>
      <w:r>
        <w:rPr>
          <w:rFonts w:hint="eastAsia" w:hAnsi="宋体"/>
          <w:szCs w:val="28"/>
        </w:rPr>
        <w:t>1年度，我单位整体支出年初预算数590.21万元，其中基本支出500.21万元，项目支出90万元。经调整，单位全年预算资金总额为627.14万元，其中基本支出534.82万元，项目支出92.32万元。根据年末单位支出决算，我单位2</w:t>
      </w:r>
      <w:r>
        <w:rPr>
          <w:rFonts w:hAnsi="宋体"/>
          <w:szCs w:val="28"/>
        </w:rPr>
        <w:t>02</w:t>
      </w:r>
      <w:r>
        <w:rPr>
          <w:rFonts w:hint="eastAsia" w:hAnsi="宋体"/>
          <w:szCs w:val="28"/>
        </w:rPr>
        <w:t>1年实际支出573.85万元，其中基本支出491.53万元，项目支出82.32万元，单位整体支出预算执行率为91.50%，基本支出预算执行率为91.91%，项目支出预算执行率为89.17%，年末结转结余资金53.29万元。</w:t>
      </w:r>
    </w:p>
    <w:bookmarkEnd w:id="21"/>
    <w:p>
      <w:pPr>
        <w:pStyle w:val="3"/>
        <w:ind w:firstLine="643"/>
      </w:pPr>
      <w:bookmarkStart w:id="23" w:name="_Toc96423022"/>
      <w:r>
        <w:rPr>
          <w:rFonts w:hint="eastAsia"/>
        </w:rPr>
        <w:t>（二）总体绩效目标完成情况分析</w:t>
      </w:r>
      <w:bookmarkEnd w:id="22"/>
      <w:bookmarkEnd w:id="23"/>
    </w:p>
    <w:p>
      <w:pPr>
        <w:ind w:firstLine="560"/>
        <w:rPr>
          <w:rFonts w:hAnsi="宋体"/>
          <w:szCs w:val="28"/>
        </w:rPr>
      </w:pPr>
      <w:r>
        <w:rPr>
          <w:rFonts w:hint="eastAsia" w:hAnsi="宋体"/>
          <w:szCs w:val="28"/>
        </w:rPr>
        <w:t>经综合评价与分析，我单位20</w:t>
      </w:r>
      <w:r>
        <w:rPr>
          <w:rFonts w:hAnsi="宋体"/>
          <w:szCs w:val="28"/>
        </w:rPr>
        <w:t>2</w:t>
      </w:r>
      <w:r>
        <w:rPr>
          <w:rFonts w:hint="eastAsia" w:hAnsi="宋体"/>
          <w:szCs w:val="28"/>
        </w:rPr>
        <w:t>1年度部门整体支出绩效自评最终得分为</w:t>
      </w:r>
      <w:r>
        <w:rPr>
          <w:rFonts w:hAnsi="宋体"/>
          <w:szCs w:val="28"/>
        </w:rPr>
        <w:t>91.08</w:t>
      </w:r>
      <w:r>
        <w:rPr>
          <w:rFonts w:hint="eastAsia" w:hAnsi="宋体"/>
          <w:szCs w:val="28"/>
        </w:rPr>
        <w:t>分，评价结果为“优”。</w:t>
      </w:r>
    </w:p>
    <w:p>
      <w:pPr>
        <w:ind w:firstLine="0" w:firstLineChars="0"/>
        <w:jc w:val="center"/>
        <w:rPr>
          <w:rFonts w:hAnsi="宋体" w:cstheme="minorEastAsia"/>
          <w:b/>
          <w:bCs/>
          <w:kern w:val="0"/>
          <w:szCs w:val="28"/>
        </w:rPr>
      </w:pPr>
      <w:r>
        <w:rPr>
          <w:rFonts w:hint="eastAsia" w:hAnsi="宋体" w:cstheme="minorEastAsia"/>
          <w:b/>
          <w:bCs/>
          <w:kern w:val="0"/>
          <w:szCs w:val="28"/>
        </w:rPr>
        <w:t>2021年度部门整体支出绩效自评指标得分情况</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10"/>
        <w:gridCol w:w="1364"/>
        <w:gridCol w:w="1606"/>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2176" w:type="pct"/>
            <w:shd w:val="clear" w:color="auto" w:fill="auto"/>
            <w:vAlign w:val="center"/>
          </w:tcPr>
          <w:p>
            <w:pPr>
              <w:widowControl/>
              <w:spacing w:line="240" w:lineRule="auto"/>
              <w:ind w:firstLine="0" w:firstLineChars="0"/>
              <w:jc w:val="center"/>
              <w:rPr>
                <w:rFonts w:hAnsi="宋体" w:cs="宋体"/>
                <w:b/>
                <w:bCs/>
                <w:color w:val="000000"/>
                <w:kern w:val="0"/>
                <w:sz w:val="24"/>
                <w:szCs w:val="24"/>
              </w:rPr>
            </w:pPr>
            <w:r>
              <w:rPr>
                <w:rFonts w:hint="eastAsia" w:hAnsi="宋体" w:cs="宋体"/>
                <w:b/>
                <w:bCs/>
                <w:color w:val="000000"/>
                <w:kern w:val="0"/>
                <w:sz w:val="24"/>
                <w:szCs w:val="24"/>
              </w:rPr>
              <w:t>一级指标</w:t>
            </w:r>
          </w:p>
        </w:tc>
        <w:tc>
          <w:tcPr>
            <w:tcW w:w="800" w:type="pct"/>
            <w:shd w:val="clear" w:color="auto" w:fill="auto"/>
            <w:noWrap/>
            <w:vAlign w:val="center"/>
          </w:tcPr>
          <w:p>
            <w:pPr>
              <w:widowControl/>
              <w:spacing w:line="240" w:lineRule="auto"/>
              <w:ind w:firstLine="0" w:firstLineChars="0"/>
              <w:jc w:val="center"/>
              <w:rPr>
                <w:rFonts w:hAnsi="宋体" w:cs="宋体"/>
                <w:b/>
                <w:bCs/>
                <w:color w:val="000000"/>
                <w:kern w:val="0"/>
                <w:sz w:val="24"/>
                <w:szCs w:val="24"/>
              </w:rPr>
            </w:pPr>
            <w:r>
              <w:rPr>
                <w:rFonts w:hint="eastAsia" w:hAnsi="宋体" w:cs="宋体"/>
                <w:b/>
                <w:bCs/>
                <w:color w:val="000000"/>
                <w:kern w:val="0"/>
                <w:sz w:val="24"/>
                <w:szCs w:val="24"/>
              </w:rPr>
              <w:t>分值</w:t>
            </w:r>
          </w:p>
        </w:tc>
        <w:tc>
          <w:tcPr>
            <w:tcW w:w="942" w:type="pct"/>
            <w:shd w:val="clear" w:color="auto" w:fill="auto"/>
            <w:noWrap/>
            <w:vAlign w:val="center"/>
          </w:tcPr>
          <w:p>
            <w:pPr>
              <w:widowControl/>
              <w:spacing w:line="240" w:lineRule="auto"/>
              <w:ind w:firstLine="0" w:firstLineChars="0"/>
              <w:jc w:val="center"/>
              <w:rPr>
                <w:rFonts w:hAnsi="宋体" w:cs="宋体"/>
                <w:b/>
                <w:bCs/>
                <w:color w:val="000000"/>
                <w:kern w:val="0"/>
                <w:sz w:val="24"/>
                <w:szCs w:val="24"/>
              </w:rPr>
            </w:pPr>
            <w:r>
              <w:rPr>
                <w:rFonts w:hint="eastAsia" w:hAnsi="宋体" w:cs="宋体"/>
                <w:b/>
                <w:bCs/>
                <w:color w:val="000000"/>
                <w:kern w:val="0"/>
                <w:sz w:val="24"/>
                <w:szCs w:val="24"/>
              </w:rPr>
              <w:t>得分</w:t>
            </w:r>
          </w:p>
        </w:tc>
        <w:tc>
          <w:tcPr>
            <w:tcW w:w="1080" w:type="pct"/>
            <w:shd w:val="clear" w:color="auto" w:fill="auto"/>
            <w:noWrap/>
            <w:vAlign w:val="center"/>
          </w:tcPr>
          <w:p>
            <w:pPr>
              <w:widowControl/>
              <w:spacing w:line="240" w:lineRule="auto"/>
              <w:ind w:firstLine="0" w:firstLineChars="0"/>
              <w:jc w:val="center"/>
              <w:rPr>
                <w:rFonts w:hAnsi="宋体" w:cs="宋体"/>
                <w:b/>
                <w:bCs/>
                <w:color w:val="000000"/>
                <w:kern w:val="0"/>
                <w:sz w:val="24"/>
                <w:szCs w:val="24"/>
              </w:rPr>
            </w:pPr>
            <w:r>
              <w:rPr>
                <w:rFonts w:hint="eastAsia" w:hAnsi="宋体" w:cs="宋体"/>
                <w:b/>
                <w:bCs/>
                <w:color w:val="000000"/>
                <w:kern w:val="0"/>
                <w:sz w:val="24"/>
                <w:szCs w:val="24"/>
              </w:rPr>
              <w:t>得分率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76" w:type="pct"/>
            <w:shd w:val="clear" w:color="auto" w:fill="auto"/>
            <w:vAlign w:val="center"/>
          </w:tcPr>
          <w:p>
            <w:pPr>
              <w:widowControl/>
              <w:spacing w:line="240" w:lineRule="auto"/>
              <w:ind w:firstLine="0" w:firstLineChars="0"/>
              <w:jc w:val="center"/>
              <w:rPr>
                <w:rFonts w:hAnsi="宋体" w:cs="宋体"/>
                <w:color w:val="000000"/>
                <w:kern w:val="0"/>
                <w:sz w:val="24"/>
                <w:szCs w:val="24"/>
              </w:rPr>
            </w:pPr>
            <w:r>
              <w:rPr>
                <w:rFonts w:hint="eastAsia" w:hAnsi="宋体" w:cs="宋体"/>
                <w:color w:val="000000"/>
                <w:kern w:val="0"/>
                <w:sz w:val="24"/>
                <w:szCs w:val="24"/>
              </w:rPr>
              <w:t>预算执行率</w:t>
            </w:r>
          </w:p>
        </w:tc>
        <w:tc>
          <w:tcPr>
            <w:tcW w:w="800" w:type="pct"/>
            <w:shd w:val="clear" w:color="auto" w:fill="auto"/>
            <w:noWrap/>
            <w:vAlign w:val="center"/>
          </w:tcPr>
          <w:p>
            <w:pPr>
              <w:widowControl/>
              <w:spacing w:line="240" w:lineRule="auto"/>
              <w:ind w:firstLine="0" w:firstLineChars="0"/>
              <w:jc w:val="center"/>
              <w:rPr>
                <w:rFonts w:hAnsi="宋体" w:cs="宋体"/>
                <w:color w:val="000000"/>
                <w:kern w:val="0"/>
                <w:sz w:val="24"/>
                <w:szCs w:val="24"/>
              </w:rPr>
            </w:pPr>
            <w:r>
              <w:rPr>
                <w:rFonts w:hint="eastAsia" w:hAnsi="宋体" w:cs="宋体"/>
                <w:color w:val="000000"/>
                <w:kern w:val="0"/>
                <w:sz w:val="24"/>
                <w:szCs w:val="24"/>
              </w:rPr>
              <w:t>10</w:t>
            </w:r>
          </w:p>
        </w:tc>
        <w:tc>
          <w:tcPr>
            <w:tcW w:w="942" w:type="pct"/>
            <w:shd w:val="clear" w:color="auto" w:fill="auto"/>
            <w:noWrap/>
            <w:vAlign w:val="center"/>
          </w:tcPr>
          <w:p>
            <w:pPr>
              <w:widowControl/>
              <w:spacing w:line="240" w:lineRule="auto"/>
              <w:ind w:firstLine="0" w:firstLineChars="0"/>
              <w:jc w:val="center"/>
              <w:rPr>
                <w:rFonts w:hAnsi="宋体" w:cs="宋体"/>
                <w:kern w:val="0"/>
                <w:sz w:val="24"/>
                <w:szCs w:val="24"/>
              </w:rPr>
            </w:pPr>
            <w:r>
              <w:rPr>
                <w:rFonts w:hint="eastAsia" w:hAnsi="宋体" w:cs="宋体"/>
                <w:kern w:val="0"/>
                <w:sz w:val="24"/>
                <w:szCs w:val="24"/>
              </w:rPr>
              <w:t>9.15</w:t>
            </w:r>
          </w:p>
        </w:tc>
        <w:tc>
          <w:tcPr>
            <w:tcW w:w="1080" w:type="pct"/>
            <w:shd w:val="clear" w:color="auto" w:fill="auto"/>
            <w:noWrap/>
            <w:vAlign w:val="center"/>
          </w:tcPr>
          <w:p>
            <w:pPr>
              <w:widowControl/>
              <w:spacing w:line="240" w:lineRule="auto"/>
              <w:ind w:firstLine="0" w:firstLineChars="0"/>
              <w:jc w:val="center"/>
              <w:rPr>
                <w:rFonts w:hAnsi="宋体" w:cs="宋体"/>
                <w:kern w:val="0"/>
                <w:sz w:val="24"/>
                <w:szCs w:val="24"/>
              </w:rPr>
            </w:pPr>
            <w:r>
              <w:rPr>
                <w:rFonts w:hint="eastAsia" w:hAnsi="宋体" w:cs="宋体"/>
                <w:kern w:val="0"/>
                <w:sz w:val="24"/>
                <w:szCs w:val="24"/>
              </w:rPr>
              <w:t>91.5</w:t>
            </w:r>
            <w:r>
              <w:rPr>
                <w:rFonts w:hAnsi="宋体" w:cs="宋体"/>
                <w:kern w:val="0"/>
                <w:sz w:val="24"/>
                <w:szCs w:val="24"/>
              </w:rPr>
              <w:t>0</w:t>
            </w:r>
            <w:r>
              <w:rPr>
                <w:rFonts w:hint="eastAsia" w:hAnsi="宋体" w:cs="宋体"/>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76" w:type="pct"/>
            <w:shd w:val="clear" w:color="auto" w:fill="auto"/>
            <w:vAlign w:val="center"/>
          </w:tcPr>
          <w:p>
            <w:pPr>
              <w:widowControl/>
              <w:spacing w:line="240" w:lineRule="auto"/>
              <w:ind w:firstLine="0" w:firstLineChars="0"/>
              <w:jc w:val="center"/>
              <w:rPr>
                <w:rFonts w:hAnsi="宋体" w:cs="宋体"/>
                <w:color w:val="000000"/>
                <w:kern w:val="0"/>
                <w:sz w:val="24"/>
                <w:szCs w:val="24"/>
              </w:rPr>
            </w:pPr>
            <w:r>
              <w:rPr>
                <w:rFonts w:hint="eastAsia" w:hAnsi="宋体" w:cs="宋体"/>
                <w:color w:val="000000"/>
                <w:kern w:val="0"/>
                <w:sz w:val="24"/>
                <w:szCs w:val="24"/>
              </w:rPr>
              <w:t>部门管理</w:t>
            </w:r>
          </w:p>
        </w:tc>
        <w:tc>
          <w:tcPr>
            <w:tcW w:w="800" w:type="pct"/>
            <w:shd w:val="clear" w:color="auto" w:fill="auto"/>
            <w:noWrap/>
            <w:vAlign w:val="center"/>
          </w:tcPr>
          <w:p>
            <w:pPr>
              <w:widowControl/>
              <w:spacing w:line="240" w:lineRule="auto"/>
              <w:ind w:firstLine="0" w:firstLineChars="0"/>
              <w:jc w:val="center"/>
              <w:rPr>
                <w:rFonts w:hAnsi="宋体" w:cs="宋体"/>
                <w:color w:val="000000"/>
                <w:kern w:val="0"/>
                <w:sz w:val="24"/>
                <w:szCs w:val="24"/>
              </w:rPr>
            </w:pPr>
            <w:r>
              <w:rPr>
                <w:rFonts w:hint="eastAsia" w:hAnsi="宋体" w:cs="宋体"/>
                <w:color w:val="000000"/>
                <w:kern w:val="0"/>
                <w:sz w:val="24"/>
                <w:szCs w:val="24"/>
              </w:rPr>
              <w:t>27</w:t>
            </w:r>
          </w:p>
        </w:tc>
        <w:tc>
          <w:tcPr>
            <w:tcW w:w="942" w:type="pct"/>
            <w:shd w:val="clear" w:color="auto" w:fill="auto"/>
            <w:noWrap/>
            <w:vAlign w:val="center"/>
          </w:tcPr>
          <w:p>
            <w:pPr>
              <w:widowControl/>
              <w:spacing w:line="240" w:lineRule="auto"/>
              <w:ind w:firstLine="0" w:firstLineChars="0"/>
              <w:jc w:val="center"/>
              <w:rPr>
                <w:rFonts w:hAnsi="宋体" w:cs="宋体"/>
                <w:kern w:val="0"/>
                <w:sz w:val="24"/>
                <w:szCs w:val="24"/>
              </w:rPr>
            </w:pPr>
            <w:r>
              <w:rPr>
                <w:rFonts w:hint="eastAsia" w:hAnsi="宋体" w:cs="宋体"/>
                <w:kern w:val="0"/>
                <w:sz w:val="24"/>
                <w:szCs w:val="24"/>
              </w:rPr>
              <w:t>24.4</w:t>
            </w:r>
          </w:p>
        </w:tc>
        <w:tc>
          <w:tcPr>
            <w:tcW w:w="1080" w:type="pct"/>
            <w:shd w:val="clear" w:color="auto" w:fill="auto"/>
            <w:noWrap/>
            <w:vAlign w:val="center"/>
          </w:tcPr>
          <w:p>
            <w:pPr>
              <w:widowControl/>
              <w:spacing w:line="240" w:lineRule="auto"/>
              <w:ind w:firstLine="0" w:firstLineChars="0"/>
              <w:jc w:val="center"/>
              <w:rPr>
                <w:rFonts w:hAnsi="宋体" w:cs="宋体"/>
                <w:kern w:val="0"/>
                <w:sz w:val="24"/>
                <w:szCs w:val="24"/>
              </w:rPr>
            </w:pPr>
            <w:r>
              <w:rPr>
                <w:rFonts w:hint="eastAsia" w:hAnsi="宋体" w:cs="宋体"/>
                <w:kern w:val="0"/>
                <w:sz w:val="24"/>
                <w:szCs w:val="24"/>
              </w:rPr>
              <w:t>90.37%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76" w:type="pct"/>
            <w:shd w:val="clear" w:color="auto" w:fill="auto"/>
            <w:vAlign w:val="center"/>
          </w:tcPr>
          <w:p>
            <w:pPr>
              <w:widowControl/>
              <w:spacing w:line="240" w:lineRule="auto"/>
              <w:ind w:firstLine="0" w:firstLineChars="0"/>
              <w:jc w:val="center"/>
              <w:rPr>
                <w:rFonts w:hAnsi="宋体" w:cs="宋体"/>
                <w:color w:val="000000"/>
                <w:kern w:val="0"/>
                <w:sz w:val="24"/>
                <w:szCs w:val="24"/>
              </w:rPr>
            </w:pPr>
            <w:r>
              <w:rPr>
                <w:rFonts w:hint="eastAsia" w:hAnsi="宋体" w:cs="宋体"/>
                <w:color w:val="000000"/>
                <w:kern w:val="0"/>
                <w:sz w:val="24"/>
                <w:szCs w:val="24"/>
              </w:rPr>
              <w:t>履职效果</w:t>
            </w:r>
          </w:p>
        </w:tc>
        <w:tc>
          <w:tcPr>
            <w:tcW w:w="800" w:type="pct"/>
            <w:shd w:val="clear" w:color="auto" w:fill="auto"/>
            <w:noWrap/>
            <w:vAlign w:val="center"/>
          </w:tcPr>
          <w:p>
            <w:pPr>
              <w:widowControl/>
              <w:spacing w:line="240" w:lineRule="auto"/>
              <w:ind w:firstLine="0" w:firstLineChars="0"/>
              <w:jc w:val="center"/>
              <w:rPr>
                <w:rFonts w:hAnsi="宋体" w:cs="宋体"/>
                <w:color w:val="000000"/>
                <w:kern w:val="0"/>
                <w:sz w:val="24"/>
                <w:szCs w:val="24"/>
              </w:rPr>
            </w:pPr>
            <w:r>
              <w:rPr>
                <w:rFonts w:hint="eastAsia" w:hAnsi="宋体" w:cs="宋体"/>
                <w:color w:val="000000"/>
                <w:kern w:val="0"/>
                <w:sz w:val="24"/>
                <w:szCs w:val="24"/>
              </w:rPr>
              <w:t>54</w:t>
            </w:r>
          </w:p>
        </w:tc>
        <w:tc>
          <w:tcPr>
            <w:tcW w:w="942" w:type="pct"/>
            <w:shd w:val="clear" w:color="auto" w:fill="auto"/>
            <w:noWrap/>
            <w:vAlign w:val="center"/>
          </w:tcPr>
          <w:p>
            <w:pPr>
              <w:widowControl/>
              <w:spacing w:line="240" w:lineRule="auto"/>
              <w:ind w:firstLine="0" w:firstLineChars="0"/>
              <w:jc w:val="center"/>
              <w:rPr>
                <w:rFonts w:hAnsi="宋体" w:cs="宋体"/>
                <w:kern w:val="0"/>
                <w:sz w:val="24"/>
                <w:szCs w:val="24"/>
              </w:rPr>
            </w:pPr>
            <w:r>
              <w:rPr>
                <w:rFonts w:hint="eastAsia" w:hAnsi="宋体" w:cs="宋体"/>
                <w:kern w:val="0"/>
                <w:sz w:val="24"/>
                <w:szCs w:val="24"/>
              </w:rPr>
              <w:t>48.</w:t>
            </w:r>
            <w:r>
              <w:rPr>
                <w:rFonts w:hAnsi="宋体" w:cs="宋体"/>
                <w:kern w:val="0"/>
                <w:sz w:val="24"/>
                <w:szCs w:val="24"/>
              </w:rPr>
              <w:t>53</w:t>
            </w:r>
          </w:p>
        </w:tc>
        <w:tc>
          <w:tcPr>
            <w:tcW w:w="1080" w:type="pct"/>
            <w:shd w:val="clear" w:color="auto" w:fill="auto"/>
            <w:noWrap/>
            <w:vAlign w:val="center"/>
          </w:tcPr>
          <w:p>
            <w:pPr>
              <w:widowControl/>
              <w:spacing w:line="240" w:lineRule="auto"/>
              <w:ind w:firstLine="0" w:firstLineChars="0"/>
              <w:jc w:val="center"/>
              <w:rPr>
                <w:rFonts w:hAnsi="宋体" w:cs="宋体"/>
                <w:kern w:val="0"/>
                <w:sz w:val="24"/>
                <w:szCs w:val="24"/>
              </w:rPr>
            </w:pPr>
            <w:r>
              <w:rPr>
                <w:rFonts w:hAnsi="宋体" w:cs="宋体"/>
                <w:kern w:val="0"/>
                <w:sz w:val="24"/>
                <w:szCs w:val="24"/>
              </w:rPr>
              <w:t>89.87</w:t>
            </w:r>
            <w:r>
              <w:rPr>
                <w:rFonts w:hint="eastAsia" w:hAnsi="宋体" w:cs="宋体"/>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76" w:type="pct"/>
            <w:shd w:val="clear" w:color="auto" w:fill="auto"/>
            <w:vAlign w:val="center"/>
          </w:tcPr>
          <w:p>
            <w:pPr>
              <w:widowControl/>
              <w:spacing w:line="240" w:lineRule="auto"/>
              <w:ind w:firstLine="0" w:firstLineChars="0"/>
              <w:jc w:val="center"/>
              <w:rPr>
                <w:rFonts w:hAnsi="宋体" w:cs="宋体"/>
                <w:color w:val="000000"/>
                <w:kern w:val="0"/>
                <w:sz w:val="24"/>
                <w:szCs w:val="24"/>
              </w:rPr>
            </w:pPr>
            <w:r>
              <w:rPr>
                <w:rFonts w:hint="eastAsia" w:hAnsi="宋体" w:cs="宋体"/>
                <w:color w:val="000000"/>
                <w:kern w:val="0"/>
                <w:sz w:val="24"/>
                <w:szCs w:val="24"/>
              </w:rPr>
              <w:t>能力建设</w:t>
            </w:r>
          </w:p>
        </w:tc>
        <w:tc>
          <w:tcPr>
            <w:tcW w:w="800" w:type="pct"/>
            <w:shd w:val="clear" w:color="auto" w:fill="auto"/>
            <w:noWrap/>
            <w:vAlign w:val="center"/>
          </w:tcPr>
          <w:p>
            <w:pPr>
              <w:widowControl/>
              <w:spacing w:line="240" w:lineRule="auto"/>
              <w:ind w:firstLine="0" w:firstLineChars="0"/>
              <w:jc w:val="center"/>
              <w:rPr>
                <w:rFonts w:hAnsi="宋体" w:cs="宋体"/>
                <w:color w:val="000000"/>
                <w:kern w:val="0"/>
                <w:sz w:val="24"/>
                <w:szCs w:val="24"/>
              </w:rPr>
            </w:pPr>
            <w:r>
              <w:rPr>
                <w:rFonts w:hint="eastAsia" w:hAnsi="宋体" w:cs="宋体"/>
                <w:color w:val="000000"/>
                <w:kern w:val="0"/>
                <w:sz w:val="24"/>
                <w:szCs w:val="24"/>
              </w:rPr>
              <w:t>9</w:t>
            </w:r>
          </w:p>
        </w:tc>
        <w:tc>
          <w:tcPr>
            <w:tcW w:w="942" w:type="pct"/>
            <w:shd w:val="clear" w:color="auto" w:fill="auto"/>
            <w:noWrap/>
            <w:vAlign w:val="center"/>
          </w:tcPr>
          <w:p>
            <w:pPr>
              <w:widowControl/>
              <w:spacing w:line="240" w:lineRule="auto"/>
              <w:ind w:firstLine="0" w:firstLineChars="0"/>
              <w:jc w:val="center"/>
              <w:rPr>
                <w:rFonts w:hAnsi="宋体" w:cs="宋体"/>
                <w:kern w:val="0"/>
                <w:sz w:val="24"/>
                <w:szCs w:val="24"/>
              </w:rPr>
            </w:pPr>
            <w:r>
              <w:rPr>
                <w:rFonts w:hint="eastAsia" w:hAnsi="宋体" w:cs="宋体"/>
                <w:kern w:val="0"/>
                <w:sz w:val="24"/>
                <w:szCs w:val="24"/>
              </w:rPr>
              <w:t>9</w:t>
            </w:r>
          </w:p>
        </w:tc>
        <w:tc>
          <w:tcPr>
            <w:tcW w:w="1080" w:type="pct"/>
            <w:shd w:val="clear" w:color="auto" w:fill="auto"/>
            <w:noWrap/>
            <w:vAlign w:val="center"/>
          </w:tcPr>
          <w:p>
            <w:pPr>
              <w:widowControl/>
              <w:spacing w:line="240" w:lineRule="auto"/>
              <w:ind w:firstLine="0" w:firstLineChars="0"/>
              <w:jc w:val="center"/>
              <w:rPr>
                <w:rFonts w:hAnsi="宋体" w:cs="宋体"/>
                <w:kern w:val="0"/>
                <w:sz w:val="24"/>
                <w:szCs w:val="24"/>
              </w:rPr>
            </w:pPr>
            <w:r>
              <w:rPr>
                <w:rFonts w:hint="eastAsia" w:hAnsi="宋体" w:cs="宋体"/>
                <w:kern w:val="0"/>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76" w:type="pct"/>
            <w:shd w:val="clear" w:color="auto" w:fill="auto"/>
            <w:vAlign w:val="center"/>
          </w:tcPr>
          <w:p>
            <w:pPr>
              <w:widowControl/>
              <w:spacing w:line="240" w:lineRule="auto"/>
              <w:ind w:firstLine="0" w:firstLineChars="0"/>
              <w:jc w:val="center"/>
              <w:rPr>
                <w:rFonts w:hAnsi="宋体" w:cs="宋体"/>
                <w:b/>
                <w:bCs/>
                <w:color w:val="000000"/>
                <w:kern w:val="0"/>
                <w:sz w:val="24"/>
                <w:szCs w:val="24"/>
              </w:rPr>
            </w:pPr>
            <w:r>
              <w:rPr>
                <w:rFonts w:hint="eastAsia" w:hAnsi="宋体" w:cs="宋体"/>
                <w:b/>
                <w:bCs/>
                <w:color w:val="000000"/>
                <w:kern w:val="0"/>
                <w:sz w:val="24"/>
                <w:szCs w:val="24"/>
              </w:rPr>
              <w:t>合计</w:t>
            </w:r>
          </w:p>
        </w:tc>
        <w:tc>
          <w:tcPr>
            <w:tcW w:w="800" w:type="pct"/>
            <w:shd w:val="clear" w:color="auto" w:fill="auto"/>
            <w:noWrap/>
            <w:vAlign w:val="center"/>
          </w:tcPr>
          <w:p>
            <w:pPr>
              <w:widowControl/>
              <w:spacing w:line="240" w:lineRule="auto"/>
              <w:ind w:firstLine="0" w:firstLineChars="0"/>
              <w:jc w:val="center"/>
              <w:rPr>
                <w:rFonts w:hAnsi="宋体" w:cs="宋体"/>
                <w:b/>
                <w:bCs/>
                <w:color w:val="000000"/>
                <w:kern w:val="0"/>
                <w:sz w:val="24"/>
                <w:szCs w:val="24"/>
              </w:rPr>
            </w:pPr>
            <w:r>
              <w:rPr>
                <w:rFonts w:hint="eastAsia" w:hAnsi="宋体" w:cs="宋体"/>
                <w:b/>
                <w:bCs/>
                <w:color w:val="000000"/>
                <w:kern w:val="0"/>
                <w:sz w:val="24"/>
                <w:szCs w:val="24"/>
              </w:rPr>
              <w:t>100</w:t>
            </w:r>
          </w:p>
        </w:tc>
        <w:tc>
          <w:tcPr>
            <w:tcW w:w="942" w:type="pct"/>
            <w:shd w:val="clear" w:color="auto" w:fill="auto"/>
            <w:noWrap/>
            <w:vAlign w:val="center"/>
          </w:tcPr>
          <w:p>
            <w:pPr>
              <w:widowControl/>
              <w:spacing w:line="240" w:lineRule="auto"/>
              <w:ind w:firstLine="0" w:firstLineChars="0"/>
              <w:jc w:val="center"/>
              <w:rPr>
                <w:rFonts w:hAnsi="宋体" w:cs="宋体"/>
                <w:b/>
                <w:bCs/>
                <w:color w:val="000000"/>
                <w:kern w:val="0"/>
                <w:sz w:val="24"/>
                <w:szCs w:val="24"/>
              </w:rPr>
            </w:pPr>
            <w:r>
              <w:rPr>
                <w:rFonts w:hint="eastAsia" w:hAnsi="宋体" w:cs="宋体"/>
                <w:b/>
                <w:bCs/>
                <w:color w:val="000000"/>
                <w:kern w:val="0"/>
                <w:sz w:val="24"/>
                <w:szCs w:val="24"/>
              </w:rPr>
              <w:t>91.</w:t>
            </w:r>
            <w:r>
              <w:rPr>
                <w:rFonts w:hAnsi="宋体" w:cs="宋体"/>
                <w:b/>
                <w:bCs/>
                <w:color w:val="000000"/>
                <w:kern w:val="0"/>
                <w:sz w:val="24"/>
                <w:szCs w:val="24"/>
              </w:rPr>
              <w:t>08</w:t>
            </w:r>
          </w:p>
        </w:tc>
        <w:tc>
          <w:tcPr>
            <w:tcW w:w="1080" w:type="pct"/>
            <w:shd w:val="clear" w:color="auto" w:fill="auto"/>
            <w:noWrap/>
            <w:vAlign w:val="center"/>
          </w:tcPr>
          <w:p>
            <w:pPr>
              <w:widowControl/>
              <w:spacing w:line="240" w:lineRule="auto"/>
              <w:ind w:firstLine="0" w:firstLineChars="0"/>
              <w:jc w:val="center"/>
              <w:rPr>
                <w:rFonts w:hAnsi="宋体" w:cs="宋体"/>
                <w:b/>
                <w:bCs/>
                <w:color w:val="000000"/>
                <w:kern w:val="0"/>
                <w:sz w:val="24"/>
                <w:szCs w:val="24"/>
              </w:rPr>
            </w:pPr>
            <w:r>
              <w:rPr>
                <w:rFonts w:hint="eastAsia" w:hAnsi="宋体" w:cs="宋体"/>
                <w:b/>
                <w:bCs/>
                <w:color w:val="000000"/>
                <w:kern w:val="0"/>
                <w:sz w:val="24"/>
                <w:szCs w:val="24"/>
              </w:rPr>
              <w:t>91.</w:t>
            </w:r>
            <w:r>
              <w:rPr>
                <w:rFonts w:hAnsi="宋体" w:cs="宋体"/>
                <w:b/>
                <w:bCs/>
                <w:color w:val="000000"/>
                <w:kern w:val="0"/>
                <w:sz w:val="24"/>
                <w:szCs w:val="24"/>
              </w:rPr>
              <w:t>08</w:t>
            </w:r>
            <w:r>
              <w:rPr>
                <w:rFonts w:hint="eastAsia" w:hAnsi="宋体" w:cs="宋体"/>
                <w:b/>
                <w:bCs/>
                <w:color w:val="000000"/>
                <w:kern w:val="0"/>
                <w:sz w:val="24"/>
                <w:szCs w:val="24"/>
              </w:rPr>
              <w:t>%</w:t>
            </w:r>
          </w:p>
        </w:tc>
      </w:tr>
    </w:tbl>
    <w:p>
      <w:pPr>
        <w:pStyle w:val="4"/>
        <w:ind w:firstLine="562"/>
      </w:pPr>
      <w:bookmarkStart w:id="24" w:name="_Toc40046029"/>
      <w:r>
        <w:t>1、目标一</w:t>
      </w:r>
    </w:p>
    <w:p>
      <w:pPr>
        <w:ind w:firstLine="562"/>
      </w:pPr>
      <w:r>
        <w:rPr>
          <w:rFonts w:hint="eastAsia"/>
          <w:b/>
          <w:bCs/>
        </w:rPr>
        <w:t>预期目标</w:t>
      </w:r>
      <w:r>
        <w:rPr>
          <w:rFonts w:hint="eastAsia"/>
        </w:rPr>
        <w:t>：紧扣大局履职，进一步发挥建言议政作用，宣传、贯彻中国共产党和国家的方针、政策，配合我省中心任务，独立自主、创造性地开展工作，发挥参政党作用。</w:t>
      </w:r>
    </w:p>
    <w:p>
      <w:pPr>
        <w:ind w:firstLine="562"/>
        <w:rPr>
          <w:rFonts w:hAnsi="宋体"/>
          <w:szCs w:val="28"/>
        </w:rPr>
      </w:pPr>
      <w:r>
        <w:rPr>
          <w:rFonts w:hint="eastAsia"/>
          <w:b/>
          <w:bCs/>
        </w:rPr>
        <w:t>实际完成情况</w:t>
      </w:r>
      <w:r>
        <w:rPr>
          <w:rFonts w:hint="eastAsia"/>
        </w:rPr>
        <w:t>：我单位2021年组织参加民革中央庆祝中国共产党成立100周年的系列活动；跟进学习中共中央、民革中央、中共甘肃省委决策部署，系统学习“十四五”规划纲要、统一战线工作条例，常态化组织开展省委会理论学习中心组学习会议6次、省委会机关政治理论学习40次；领导班子成员讲党课、做辅导报告20余次，引导党员干部深刻领悟习近平新时代中国特色社会主义思想的科学性和真理性，进一步夯实了共同思想政治基础。</w:t>
      </w:r>
    </w:p>
    <w:p>
      <w:pPr>
        <w:pStyle w:val="4"/>
        <w:ind w:firstLine="562"/>
      </w:pPr>
      <w:r>
        <w:t>2、目标二</w:t>
      </w:r>
    </w:p>
    <w:p>
      <w:pPr>
        <w:ind w:firstLine="562"/>
        <w:rPr>
          <w:rFonts w:hAnsi="宋体"/>
          <w:szCs w:val="28"/>
        </w:rPr>
      </w:pPr>
      <w:r>
        <w:rPr>
          <w:rFonts w:hint="eastAsia"/>
          <w:b/>
          <w:bCs/>
        </w:rPr>
        <w:t>预期目标</w:t>
      </w:r>
      <w:r>
        <w:rPr>
          <w:rFonts w:hint="eastAsia"/>
        </w:rPr>
        <w:t>：参加中国共产党领导的政治协商，进行参政议政、民主监督，反映社情民意的各项工作，反映社情民意的各项工作，献计出力，为我省突破发展等方面建言，为科学决策、有效施策提供了有益参考。</w:t>
      </w:r>
    </w:p>
    <w:p>
      <w:pPr>
        <w:ind w:firstLine="562"/>
        <w:rPr>
          <w:rFonts w:hAnsi="宋体"/>
          <w:szCs w:val="28"/>
        </w:rPr>
      </w:pPr>
      <w:r>
        <w:rPr>
          <w:rFonts w:hint="eastAsia"/>
          <w:b/>
          <w:bCs/>
        </w:rPr>
        <w:t>实际完成情况</w:t>
      </w:r>
      <w:r>
        <w:rPr>
          <w:rFonts w:hint="eastAsia"/>
        </w:rPr>
        <w:t>：</w:t>
      </w:r>
      <w:r>
        <w:rPr>
          <w:rFonts w:hint="eastAsia" w:hAnsi="宋体"/>
          <w:szCs w:val="28"/>
        </w:rPr>
        <w:t>我单位省委会参加中共甘肃省委召开的专题协商4次、调研协商2次；据中共甘肃省委统战部统计，民革省委会提出的意见建议被相关部门采纳15条。省委会主要领导带队分别赴省农业农村厅和兰州市开展监督性调研4次并召开座谈会，深入到刘家峡水电站、榆中黄河干流沿线及红古区境内湟水河沿线开展了为期4天的明察暗访，形成专项民主监督报告和专题协商座谈会发言材料，共提出意见建议18条。</w:t>
      </w:r>
    </w:p>
    <w:p>
      <w:pPr>
        <w:pStyle w:val="4"/>
        <w:ind w:firstLine="562"/>
      </w:pPr>
      <w:r>
        <w:t>3、目标三</w:t>
      </w:r>
    </w:p>
    <w:p>
      <w:pPr>
        <w:ind w:firstLine="562"/>
      </w:pPr>
      <w:r>
        <w:rPr>
          <w:rFonts w:hint="eastAsia"/>
          <w:b/>
          <w:bCs/>
        </w:rPr>
        <w:t>预期目标</w:t>
      </w:r>
      <w:r>
        <w:rPr>
          <w:rFonts w:hint="eastAsia"/>
        </w:rPr>
        <w:t>：根据民革中央和省委省政府以及省政协的政党协商要求，按照调研计划逐步开展调研课题，提交提案、完成调研报告、报送社情民意，开展调研次数不少于5次。</w:t>
      </w:r>
    </w:p>
    <w:p>
      <w:pPr>
        <w:ind w:firstLine="562"/>
        <w:rPr>
          <w:rFonts w:hAnsi="宋体"/>
          <w:szCs w:val="28"/>
        </w:rPr>
      </w:pPr>
      <w:r>
        <w:rPr>
          <w:rFonts w:hint="eastAsia"/>
          <w:b/>
          <w:bCs/>
        </w:rPr>
        <w:t>实际完成情况：</w:t>
      </w:r>
      <w:r>
        <w:rPr>
          <w:rFonts w:hint="eastAsia" w:hAnsi="宋体"/>
          <w:szCs w:val="28"/>
        </w:rPr>
        <w:t>全年深入省内各地开展专题调研7次，形成调研成果8篇。围绕年度政党协商议题，结合民革参政议政的优势领域，寻找调研切入口，围绕兰州新区发展、做大做特做优甘肃产业、农业与旅游业融合发展、推进向西开放等课题开展专项调研6次。就在西部陆海新通道实施铁路运输“量价捆绑”政策研究、祁连山国家公园甘肃省片区体制试点工作开展调研2次。省委会主要领导带队分别赴省农业农村厅和兰州市开展监督性调研4次并召开座谈会。</w:t>
      </w:r>
    </w:p>
    <w:p>
      <w:pPr>
        <w:pStyle w:val="4"/>
        <w:ind w:firstLine="562"/>
      </w:pPr>
      <w:r>
        <w:t>4、目标四</w:t>
      </w:r>
    </w:p>
    <w:p>
      <w:pPr>
        <w:ind w:firstLine="562"/>
        <w:rPr>
          <w:rFonts w:hAnsi="宋体"/>
          <w:szCs w:val="28"/>
        </w:rPr>
      </w:pPr>
      <w:r>
        <w:rPr>
          <w:rFonts w:hint="eastAsia"/>
          <w:b/>
          <w:bCs/>
        </w:rPr>
        <w:t>预期目标</w:t>
      </w:r>
      <w:r>
        <w:rPr>
          <w:rFonts w:hint="eastAsia"/>
        </w:rPr>
        <w:t>：加扎实做好对台宣传工作，贯彻“和平统一、一国两制”的方针，动员和组织全省民革党员，为促进祖国和平统一而努力。</w:t>
      </w:r>
    </w:p>
    <w:p>
      <w:pPr>
        <w:ind w:firstLine="562"/>
      </w:pPr>
      <w:r>
        <w:rPr>
          <w:rFonts w:hint="eastAsia"/>
          <w:b/>
          <w:bCs/>
        </w:rPr>
        <w:t>实际完成情况</w:t>
      </w:r>
      <w:r>
        <w:rPr>
          <w:rFonts w:hint="eastAsia"/>
        </w:rPr>
        <w:t>：做好涉台参政议政工作，形成《关于支持台商在甘肃农业投资的建议》和《关于设立甘肃天水为海峡两岸交流基地的建议》。举办“庆中秋、迎国庆台胞台属茶话会”“学习黎秀芳 永远跟党走”座谈会；参加市台办和市台联举办的台胞台属美术作品收藏展暨对台交流基地挂牌仪式；为在兰台胞开展法律咨询、台胞证如何获取甘肃健康码等服务工作。编印《台情学习交流资料》2期，编报工作信息6篇。</w:t>
      </w:r>
    </w:p>
    <w:p>
      <w:pPr>
        <w:pStyle w:val="4"/>
        <w:ind w:firstLine="562"/>
      </w:pPr>
      <w:bookmarkStart w:id="25" w:name="_Toc96423023"/>
      <w:r>
        <w:t>5、目标</w:t>
      </w:r>
      <w:r>
        <w:rPr>
          <w:rFonts w:hint="eastAsia"/>
        </w:rPr>
        <w:t>五</w:t>
      </w:r>
    </w:p>
    <w:p>
      <w:pPr>
        <w:ind w:firstLine="562"/>
      </w:pPr>
      <w:r>
        <w:rPr>
          <w:rFonts w:hint="eastAsia"/>
          <w:b/>
          <w:bCs/>
        </w:rPr>
        <w:t>预期目标：</w:t>
      </w:r>
      <w:r>
        <w:rPr>
          <w:rFonts w:hint="eastAsia"/>
        </w:rPr>
        <w:t>通过各项工作的开展，发现和培养人才，向各级政府和社会各方面推荐人才，为发挥他们的才智专长创造条件。</w:t>
      </w:r>
    </w:p>
    <w:p>
      <w:pPr>
        <w:ind w:firstLine="562"/>
      </w:pPr>
      <w:r>
        <w:rPr>
          <w:rFonts w:hint="eastAsia"/>
          <w:b/>
          <w:bCs/>
        </w:rPr>
        <w:t>实际完成情况：</w:t>
      </w:r>
      <w:r>
        <w:t>2021年新发展党员120人，其中特色党员100人，占比达到 83%；大学本科以上学历占比超过98%，硕士学位12人，博士学位5人，高级职称20人，长江学者1人，地厅级干部2人；平均年龄39岁。地方组织和基层组织换届工作圆满完成，与2016年换届相比，进入市级人大、政府、政协班子的由4人增加到9人，进入班子人数和担任副市长的人数是各党派最多的。进入县（市区）人大、政府、政协班子的由12人增加到21人。</w:t>
      </w:r>
    </w:p>
    <w:p>
      <w:pPr>
        <w:pStyle w:val="4"/>
        <w:ind w:firstLine="562"/>
      </w:pPr>
      <w:r>
        <w:rPr>
          <w:rFonts w:hint="eastAsia"/>
        </w:rPr>
        <w:t>6、</w:t>
      </w:r>
      <w:r>
        <w:t>目标</w:t>
      </w:r>
      <w:r>
        <w:rPr>
          <w:rFonts w:hint="eastAsia"/>
        </w:rPr>
        <w:t>六</w:t>
      </w:r>
    </w:p>
    <w:p>
      <w:pPr>
        <w:ind w:firstLine="562"/>
      </w:pPr>
      <w:r>
        <w:rPr>
          <w:b/>
          <w:bCs/>
        </w:rPr>
        <w:t>预期目标：</w:t>
      </w:r>
      <w:r>
        <w:rPr>
          <w:rFonts w:hint="eastAsia"/>
        </w:rPr>
        <w:t>宣传贯彻以经济建设为中心的方针，组织、推动民革党员立足本职、深入调研，每月逐批逐次参加帮扶工作，通过精准扶贫，积极开展社会服务工作，积极表达人民群众的诉求。</w:t>
      </w:r>
    </w:p>
    <w:p>
      <w:pPr>
        <w:ind w:firstLine="562"/>
      </w:pPr>
      <w:r>
        <w:rPr>
          <w:rFonts w:hint="eastAsia"/>
          <w:b/>
          <w:bCs/>
        </w:rPr>
        <w:t>实际完成情况：</w:t>
      </w:r>
      <w:r>
        <w:rPr>
          <w:rFonts w:hint="eastAsia"/>
        </w:rPr>
        <w:t>参与对口帮扶及支持消费扶贫工作</w:t>
      </w:r>
      <w:r>
        <w:t>2项：做好积石山县小关乡唐藏村乡村振兴对口帮扶工作，全年引进项目及各类帮扶资金127.3万元；动员广大党员和机关干部开展消费扶贫活动，累计购买贫困地区农产品6.3万余元。积极开展社会服务活动5项：开展“送文化、送医药、送物资”下乡等活动；携手甘肃国林公益基金会开展“关爱童心”图书捐赠活动；为小关乡4所学校建立图书室4个；开展参与抗疫工作；联合甘肃国林公益基金会开展图书捐赠活动。</w:t>
      </w:r>
    </w:p>
    <w:p>
      <w:pPr>
        <w:pStyle w:val="3"/>
        <w:ind w:firstLine="643"/>
      </w:pPr>
      <w:r>
        <w:rPr>
          <w:rFonts w:hint="eastAsia"/>
        </w:rPr>
        <w:t>（三）各项指标完成情况分析</w:t>
      </w:r>
      <w:bookmarkEnd w:id="24"/>
      <w:bookmarkEnd w:id="25"/>
    </w:p>
    <w:p>
      <w:pPr>
        <w:pStyle w:val="4"/>
        <w:ind w:firstLine="562"/>
      </w:pPr>
      <w:bookmarkStart w:id="26" w:name="_Toc40046030"/>
      <w:bookmarkStart w:id="27" w:name="_Toc38974689"/>
      <w:r>
        <w:t>1</w:t>
      </w:r>
      <w:r>
        <w:rPr>
          <w:rFonts w:hint="eastAsia"/>
        </w:rPr>
        <w:t>、预算执行率</w:t>
      </w:r>
      <w:bookmarkEnd w:id="26"/>
      <w:bookmarkEnd w:id="27"/>
    </w:p>
    <w:tbl>
      <w:tblPr>
        <w:tblStyle w:val="17"/>
        <w:tblW w:w="82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6"/>
        <w:gridCol w:w="1701"/>
        <w:gridCol w:w="1417"/>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56" w:type="dxa"/>
            <w:shd w:val="clear" w:color="auto" w:fill="auto"/>
            <w:vAlign w:val="center"/>
          </w:tcPr>
          <w:p>
            <w:pPr>
              <w:widowControl/>
              <w:spacing w:line="240" w:lineRule="auto"/>
              <w:ind w:firstLine="0" w:firstLineChars="0"/>
              <w:jc w:val="center"/>
              <w:rPr>
                <w:rFonts w:hAnsi="宋体" w:cs="宋体"/>
                <w:b/>
                <w:bCs/>
                <w:color w:val="000000"/>
                <w:kern w:val="0"/>
                <w:sz w:val="24"/>
                <w:szCs w:val="24"/>
              </w:rPr>
            </w:pPr>
            <w:r>
              <w:rPr>
                <w:rFonts w:hint="eastAsia" w:hAnsi="宋体" w:cs="宋体"/>
                <w:b/>
                <w:bCs/>
                <w:color w:val="000000"/>
                <w:kern w:val="0"/>
                <w:sz w:val="24"/>
                <w:szCs w:val="24"/>
              </w:rPr>
              <w:t>一级指标</w:t>
            </w:r>
          </w:p>
        </w:tc>
        <w:tc>
          <w:tcPr>
            <w:tcW w:w="1701" w:type="dxa"/>
            <w:shd w:val="clear" w:color="auto" w:fill="auto"/>
            <w:noWrap/>
            <w:vAlign w:val="center"/>
          </w:tcPr>
          <w:p>
            <w:pPr>
              <w:widowControl/>
              <w:spacing w:line="240" w:lineRule="auto"/>
              <w:ind w:firstLine="0" w:firstLineChars="0"/>
              <w:jc w:val="center"/>
              <w:rPr>
                <w:rFonts w:hAnsi="宋体" w:cs="宋体"/>
                <w:b/>
                <w:bCs/>
                <w:color w:val="000000"/>
                <w:kern w:val="0"/>
                <w:sz w:val="24"/>
                <w:szCs w:val="24"/>
              </w:rPr>
            </w:pPr>
            <w:r>
              <w:rPr>
                <w:rFonts w:hint="eastAsia" w:hAnsi="宋体" w:cs="宋体"/>
                <w:b/>
                <w:bCs/>
                <w:color w:val="000000"/>
                <w:kern w:val="0"/>
                <w:sz w:val="24"/>
                <w:szCs w:val="24"/>
              </w:rPr>
              <w:t>分值</w:t>
            </w:r>
          </w:p>
        </w:tc>
        <w:tc>
          <w:tcPr>
            <w:tcW w:w="1417" w:type="dxa"/>
            <w:shd w:val="clear" w:color="auto" w:fill="auto"/>
            <w:noWrap/>
            <w:vAlign w:val="center"/>
          </w:tcPr>
          <w:p>
            <w:pPr>
              <w:widowControl/>
              <w:spacing w:line="240" w:lineRule="auto"/>
              <w:ind w:firstLine="0" w:firstLineChars="0"/>
              <w:jc w:val="center"/>
              <w:rPr>
                <w:rFonts w:hAnsi="宋体" w:cs="宋体"/>
                <w:b/>
                <w:bCs/>
                <w:color w:val="000000"/>
                <w:kern w:val="0"/>
                <w:sz w:val="24"/>
                <w:szCs w:val="24"/>
              </w:rPr>
            </w:pPr>
            <w:r>
              <w:rPr>
                <w:rFonts w:hint="eastAsia" w:hAnsi="宋体" w:cs="宋体"/>
                <w:b/>
                <w:bCs/>
                <w:color w:val="000000"/>
                <w:kern w:val="0"/>
                <w:sz w:val="24"/>
                <w:szCs w:val="24"/>
              </w:rPr>
              <w:t>得分</w:t>
            </w:r>
          </w:p>
        </w:tc>
        <w:tc>
          <w:tcPr>
            <w:tcW w:w="1890" w:type="dxa"/>
            <w:shd w:val="clear" w:color="auto" w:fill="auto"/>
            <w:noWrap/>
            <w:vAlign w:val="center"/>
          </w:tcPr>
          <w:p>
            <w:pPr>
              <w:widowControl/>
              <w:spacing w:line="240" w:lineRule="auto"/>
              <w:ind w:firstLine="0" w:firstLineChars="0"/>
              <w:jc w:val="center"/>
              <w:rPr>
                <w:rFonts w:hAnsi="宋体" w:cs="宋体"/>
                <w:b/>
                <w:bCs/>
                <w:color w:val="000000"/>
                <w:kern w:val="0"/>
                <w:sz w:val="24"/>
                <w:szCs w:val="24"/>
              </w:rPr>
            </w:pPr>
            <w:r>
              <w:rPr>
                <w:rFonts w:hint="eastAsia" w:hAnsi="宋体" w:cs="宋体"/>
                <w:b/>
                <w:bCs/>
                <w:color w:val="000000"/>
                <w:kern w:val="0"/>
                <w:sz w:val="24"/>
                <w:szCs w:val="24"/>
              </w:rPr>
              <w:t>得分率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56" w:type="dxa"/>
            <w:shd w:val="clear" w:color="auto" w:fill="auto"/>
            <w:vAlign w:val="center"/>
          </w:tcPr>
          <w:p>
            <w:pPr>
              <w:widowControl/>
              <w:spacing w:line="240" w:lineRule="auto"/>
              <w:ind w:firstLine="0" w:firstLineChars="0"/>
              <w:jc w:val="center"/>
              <w:rPr>
                <w:rFonts w:hAnsi="宋体" w:cs="宋体"/>
                <w:color w:val="000000"/>
                <w:kern w:val="0"/>
                <w:sz w:val="24"/>
                <w:szCs w:val="24"/>
              </w:rPr>
            </w:pPr>
            <w:r>
              <w:rPr>
                <w:rFonts w:hint="eastAsia" w:hAnsi="宋体" w:cs="宋体"/>
                <w:color w:val="000000"/>
                <w:kern w:val="0"/>
                <w:sz w:val="24"/>
                <w:szCs w:val="24"/>
              </w:rPr>
              <w:t>预算执行率</w:t>
            </w:r>
          </w:p>
        </w:tc>
        <w:tc>
          <w:tcPr>
            <w:tcW w:w="1701" w:type="dxa"/>
            <w:shd w:val="clear" w:color="auto" w:fill="auto"/>
            <w:vAlign w:val="center"/>
          </w:tcPr>
          <w:p>
            <w:pPr>
              <w:widowControl/>
              <w:spacing w:line="240" w:lineRule="auto"/>
              <w:ind w:firstLine="0" w:firstLineChars="0"/>
              <w:jc w:val="center"/>
              <w:rPr>
                <w:rFonts w:hAnsi="宋体" w:cs="宋体"/>
                <w:color w:val="000000"/>
                <w:kern w:val="0"/>
                <w:sz w:val="24"/>
                <w:szCs w:val="24"/>
              </w:rPr>
            </w:pPr>
            <w:r>
              <w:rPr>
                <w:rFonts w:hint="eastAsia" w:hAnsi="宋体" w:cs="宋体"/>
                <w:color w:val="000000"/>
                <w:kern w:val="0"/>
                <w:sz w:val="24"/>
                <w:szCs w:val="24"/>
              </w:rPr>
              <w:t>10</w:t>
            </w:r>
          </w:p>
        </w:tc>
        <w:tc>
          <w:tcPr>
            <w:tcW w:w="1417" w:type="dxa"/>
            <w:shd w:val="clear" w:color="auto" w:fill="auto"/>
            <w:vAlign w:val="center"/>
          </w:tcPr>
          <w:p>
            <w:pPr>
              <w:widowControl/>
              <w:spacing w:line="240" w:lineRule="auto"/>
              <w:ind w:firstLine="0" w:firstLineChars="0"/>
              <w:jc w:val="center"/>
              <w:rPr>
                <w:rFonts w:hAnsi="宋体" w:cs="宋体"/>
                <w:color w:val="000000"/>
                <w:kern w:val="0"/>
                <w:sz w:val="24"/>
                <w:szCs w:val="24"/>
              </w:rPr>
            </w:pPr>
            <w:r>
              <w:rPr>
                <w:rFonts w:hint="eastAsia" w:hAnsi="宋体" w:cs="宋体"/>
                <w:color w:val="000000"/>
                <w:kern w:val="0"/>
                <w:sz w:val="24"/>
                <w:szCs w:val="24"/>
              </w:rPr>
              <w:t>9.15</w:t>
            </w:r>
          </w:p>
        </w:tc>
        <w:tc>
          <w:tcPr>
            <w:tcW w:w="1890" w:type="dxa"/>
            <w:shd w:val="clear" w:color="auto" w:fill="auto"/>
            <w:vAlign w:val="center"/>
          </w:tcPr>
          <w:p>
            <w:pPr>
              <w:widowControl/>
              <w:spacing w:line="240" w:lineRule="auto"/>
              <w:ind w:firstLine="0" w:firstLineChars="0"/>
              <w:jc w:val="center"/>
              <w:rPr>
                <w:rFonts w:hAnsi="宋体" w:cs="宋体"/>
                <w:color w:val="000000"/>
                <w:kern w:val="0"/>
                <w:sz w:val="24"/>
                <w:szCs w:val="24"/>
              </w:rPr>
            </w:pPr>
            <w:r>
              <w:rPr>
                <w:rFonts w:hint="eastAsia" w:hAnsi="宋体" w:cs="宋体"/>
                <w:color w:val="000000"/>
                <w:kern w:val="0"/>
                <w:sz w:val="24"/>
                <w:szCs w:val="24"/>
              </w:rPr>
              <w:t>91.5%</w:t>
            </w:r>
          </w:p>
        </w:tc>
      </w:tr>
    </w:tbl>
    <w:p>
      <w:pPr>
        <w:ind w:firstLine="560"/>
        <w:rPr>
          <w:rFonts w:hAnsi="宋体"/>
          <w:szCs w:val="28"/>
        </w:rPr>
      </w:pPr>
      <w:bookmarkStart w:id="28" w:name="_Toc40046031"/>
      <w:r>
        <w:rPr>
          <w:rFonts w:hint="eastAsia" w:hAnsi="宋体"/>
          <w:szCs w:val="28"/>
        </w:rPr>
        <w:t>我单位20</w:t>
      </w:r>
      <w:r>
        <w:rPr>
          <w:rFonts w:hAnsi="宋体"/>
          <w:szCs w:val="28"/>
        </w:rPr>
        <w:t>2</w:t>
      </w:r>
      <w:r>
        <w:rPr>
          <w:rFonts w:hint="eastAsia" w:hAnsi="宋体"/>
          <w:szCs w:val="28"/>
        </w:rPr>
        <w:t>1年年初预算数590.21万元，全年预算数627.14万元，全年执行数573.85万元，预算执行率91.5%。</w:t>
      </w:r>
    </w:p>
    <w:p>
      <w:pPr>
        <w:pStyle w:val="4"/>
        <w:ind w:firstLine="562"/>
      </w:pPr>
      <w:r>
        <w:rPr>
          <w:rFonts w:hint="eastAsia"/>
        </w:rPr>
        <w:t>2、部门管理</w:t>
      </w:r>
      <w:bookmarkEnd w:id="28"/>
    </w:p>
    <w:p>
      <w:pPr>
        <w:ind w:firstLine="560"/>
        <w:rPr>
          <w:rFonts w:hAnsi="宋体"/>
          <w:szCs w:val="28"/>
        </w:rPr>
      </w:pPr>
      <w:r>
        <w:rPr>
          <w:rFonts w:hint="eastAsia" w:hAnsi="宋体"/>
          <w:szCs w:val="28"/>
        </w:rPr>
        <w:t>根据《</w:t>
      </w:r>
      <w:r>
        <w:rPr>
          <w:rFonts w:hAnsi="宋体"/>
          <w:szCs w:val="28"/>
        </w:rPr>
        <w:t>202</w:t>
      </w:r>
      <w:r>
        <w:rPr>
          <w:rFonts w:hint="eastAsia" w:hAnsi="宋体"/>
          <w:szCs w:val="28"/>
        </w:rPr>
        <w:t>1</w:t>
      </w:r>
      <w:r>
        <w:rPr>
          <w:rFonts w:hAnsi="宋体"/>
          <w:szCs w:val="28"/>
        </w:rPr>
        <w:t>年度</w:t>
      </w:r>
      <w:r>
        <w:rPr>
          <w:rFonts w:hint="eastAsia" w:hAnsi="仿宋"/>
          <w:szCs w:val="32"/>
        </w:rPr>
        <w:t>中国国民党革命委员会甘肃省委员会</w:t>
      </w:r>
      <w:r>
        <w:rPr>
          <w:rFonts w:hint="eastAsia" w:hAnsi="宋体"/>
          <w:szCs w:val="28"/>
        </w:rPr>
        <w:t>预算执行情况绩效自评</w:t>
      </w:r>
      <w:r>
        <w:rPr>
          <w:rFonts w:hAnsi="宋体"/>
          <w:szCs w:val="28"/>
        </w:rPr>
        <w:t>表</w:t>
      </w:r>
      <w:r>
        <w:rPr>
          <w:rFonts w:hint="eastAsia" w:hAnsi="宋体"/>
          <w:szCs w:val="28"/>
        </w:rPr>
        <w:t>》，一级指标部门管理下设10个三级指标，指标权重合计27分，自评得分</w:t>
      </w:r>
      <w:r>
        <w:rPr>
          <w:rFonts w:hAnsi="宋体"/>
          <w:szCs w:val="28"/>
        </w:rPr>
        <w:t>24.4</w:t>
      </w:r>
      <w:r>
        <w:rPr>
          <w:rFonts w:hint="eastAsia" w:hAnsi="宋体"/>
          <w:szCs w:val="28"/>
        </w:rPr>
        <w:t>分，得分率为</w:t>
      </w:r>
      <w:r>
        <w:rPr>
          <w:rFonts w:hAnsi="宋体"/>
          <w:szCs w:val="28"/>
        </w:rPr>
        <w:t>90.37</w:t>
      </w:r>
      <w:r>
        <w:rPr>
          <w:rFonts w:hint="eastAsia" w:hAnsi="宋体"/>
          <w:szCs w:val="28"/>
        </w:rPr>
        <w:t>%。</w:t>
      </w:r>
    </w:p>
    <w:tbl>
      <w:tblPr>
        <w:tblStyle w:val="18"/>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1701"/>
        <w:gridCol w:w="1560"/>
        <w:gridCol w:w="850"/>
        <w:gridCol w:w="851"/>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2263"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hint="eastAsia" w:ascii="仿宋_GB2312" w:hAnsi="宋体" w:eastAsia="仿宋_GB2312" w:cs="宋体"/>
                <w:b/>
                <w:bCs/>
                <w:color w:val="000000"/>
                <w:kern w:val="0"/>
                <w:sz w:val="24"/>
                <w:szCs w:val="24"/>
              </w:rPr>
              <w:t>三级指标</w:t>
            </w:r>
          </w:p>
        </w:tc>
        <w:tc>
          <w:tcPr>
            <w:tcW w:w="1701"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hint="eastAsia" w:ascii="仿宋_GB2312" w:hAnsi="宋体" w:eastAsia="仿宋_GB2312" w:cs="宋体"/>
                <w:b/>
                <w:bCs/>
                <w:color w:val="000000"/>
                <w:kern w:val="0"/>
                <w:sz w:val="24"/>
                <w:szCs w:val="24"/>
              </w:rPr>
              <w:t>年度指标值</w:t>
            </w:r>
          </w:p>
        </w:tc>
        <w:tc>
          <w:tcPr>
            <w:tcW w:w="1560"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hint="eastAsia" w:ascii="仿宋_GB2312" w:hAnsi="宋体" w:eastAsia="仿宋_GB2312" w:cs="宋体"/>
                <w:b/>
                <w:bCs/>
                <w:color w:val="000000"/>
                <w:kern w:val="0"/>
                <w:sz w:val="24"/>
                <w:szCs w:val="24"/>
              </w:rPr>
              <w:t>实际完成值</w:t>
            </w:r>
          </w:p>
        </w:tc>
        <w:tc>
          <w:tcPr>
            <w:tcW w:w="850"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分值</w:t>
            </w:r>
          </w:p>
        </w:tc>
        <w:tc>
          <w:tcPr>
            <w:tcW w:w="851"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hint="eastAsia" w:ascii="仿宋_GB2312" w:hAnsi="宋体" w:eastAsia="仿宋_GB2312" w:cs="宋体"/>
                <w:b/>
                <w:bCs/>
                <w:color w:val="000000"/>
                <w:kern w:val="0"/>
                <w:sz w:val="24"/>
                <w:szCs w:val="24"/>
              </w:rPr>
              <w:t>得分</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hint="eastAsia" w:ascii="仿宋_GB2312" w:hAnsi="宋体" w:eastAsia="仿宋_GB2312" w:cs="宋体"/>
                <w:b/>
                <w:bCs/>
                <w:color w:val="000000"/>
                <w:kern w:val="0"/>
                <w:sz w:val="24"/>
                <w:szCs w:val="24"/>
              </w:rPr>
              <w:t>得分率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63"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hint="eastAsia" w:ascii="仿宋_GB2312" w:hAnsi="宋体" w:eastAsia="仿宋_GB2312" w:cs="宋体"/>
                <w:color w:val="000000"/>
                <w:kern w:val="0"/>
                <w:sz w:val="24"/>
                <w:szCs w:val="24"/>
              </w:rPr>
              <w:t>基本支出预算执行率</w:t>
            </w:r>
          </w:p>
        </w:tc>
        <w:tc>
          <w:tcPr>
            <w:tcW w:w="1701"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hint="eastAsia" w:ascii="仿宋_GB2312" w:hAnsi="宋体" w:eastAsia="仿宋_GB2312" w:cs="宋体"/>
                <w:color w:val="000000"/>
                <w:kern w:val="0"/>
                <w:sz w:val="24"/>
                <w:szCs w:val="24"/>
              </w:rPr>
              <w:t>100%</w:t>
            </w:r>
          </w:p>
        </w:tc>
        <w:tc>
          <w:tcPr>
            <w:tcW w:w="1560"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hint="eastAsia" w:ascii="仿宋_GB2312" w:hAnsi="宋体" w:eastAsia="仿宋_GB2312" w:cs="宋体"/>
                <w:color w:val="000000"/>
                <w:kern w:val="0"/>
                <w:sz w:val="24"/>
                <w:szCs w:val="24"/>
              </w:rPr>
              <w:t>91.91%</w:t>
            </w:r>
          </w:p>
        </w:tc>
        <w:tc>
          <w:tcPr>
            <w:tcW w:w="850"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hAnsi="宋体" w:eastAsia="仿宋_GB2312" w:cs="宋体"/>
                <w:color w:val="000000"/>
                <w:kern w:val="0"/>
                <w:sz w:val="24"/>
                <w:szCs w:val="24"/>
              </w:rPr>
            </w:pPr>
            <w:r>
              <w:rPr>
                <w:rFonts w:ascii="仿宋_GB2312" w:hAnsi="宋体" w:eastAsia="仿宋_GB2312" w:cs="宋体"/>
                <w:color w:val="000000"/>
                <w:kern w:val="0"/>
                <w:sz w:val="24"/>
                <w:szCs w:val="24"/>
              </w:rPr>
              <w:t>2</w:t>
            </w:r>
            <w:r>
              <w:rPr>
                <w:rFonts w:hint="eastAsia" w:ascii="仿宋_GB2312" w:hAnsi="宋体" w:eastAsia="仿宋_GB2312" w:cs="宋体"/>
                <w:color w:val="000000"/>
                <w:kern w:val="0"/>
                <w:sz w:val="24"/>
                <w:szCs w:val="24"/>
              </w:rPr>
              <w:t>.7</w:t>
            </w:r>
          </w:p>
        </w:tc>
        <w:tc>
          <w:tcPr>
            <w:tcW w:w="851"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hint="eastAsia" w:ascii="仿宋_GB2312" w:eastAsia="仿宋_GB2312"/>
                <w:sz w:val="24"/>
                <w:szCs w:val="24"/>
              </w:rPr>
              <w:t>2.7</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ascii="仿宋_GB2312" w:hAnsi="宋体" w:eastAsia="仿宋_GB2312" w:cs="宋体"/>
                <w:color w:val="000000"/>
                <w:kern w:val="0"/>
                <w:sz w:val="24"/>
                <w:szCs w:val="24"/>
              </w:rPr>
              <w:t>100</w:t>
            </w:r>
            <w:r>
              <w:rPr>
                <w:rFonts w:hint="eastAsia" w:ascii="仿宋_GB2312" w:hAnsi="宋体" w:eastAsia="仿宋_GB2312" w:cs="宋体"/>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63"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hint="eastAsia" w:ascii="仿宋_GB2312" w:hAnsi="宋体" w:eastAsia="仿宋_GB2312" w:cs="宋体"/>
                <w:color w:val="000000"/>
                <w:kern w:val="0"/>
                <w:sz w:val="24"/>
                <w:szCs w:val="24"/>
              </w:rPr>
              <w:t>项目支出预算执行率</w:t>
            </w:r>
          </w:p>
        </w:tc>
        <w:tc>
          <w:tcPr>
            <w:tcW w:w="1701"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hint="eastAsia" w:ascii="仿宋_GB2312" w:hAnsi="宋体" w:eastAsia="仿宋_GB2312" w:cs="宋体"/>
                <w:color w:val="000000"/>
                <w:kern w:val="0"/>
                <w:sz w:val="24"/>
                <w:szCs w:val="24"/>
              </w:rPr>
              <w:t>100%</w:t>
            </w:r>
          </w:p>
        </w:tc>
        <w:tc>
          <w:tcPr>
            <w:tcW w:w="1560"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hint="eastAsia" w:ascii="仿宋_GB2312" w:hAnsi="宋体" w:eastAsia="仿宋_GB2312" w:cs="宋体"/>
                <w:color w:val="000000"/>
                <w:kern w:val="0"/>
                <w:sz w:val="24"/>
                <w:szCs w:val="24"/>
              </w:rPr>
              <w:t>89.17%</w:t>
            </w:r>
          </w:p>
        </w:tc>
        <w:tc>
          <w:tcPr>
            <w:tcW w:w="850"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hAnsi="宋体" w:eastAsia="仿宋_GB2312" w:cs="宋体"/>
                <w:color w:val="000000"/>
                <w:kern w:val="0"/>
                <w:sz w:val="24"/>
                <w:szCs w:val="24"/>
              </w:rPr>
            </w:pPr>
            <w:r>
              <w:rPr>
                <w:rFonts w:ascii="仿宋_GB2312" w:hAnsi="宋体" w:eastAsia="仿宋_GB2312" w:cs="宋体"/>
                <w:color w:val="000000"/>
                <w:kern w:val="0"/>
                <w:sz w:val="24"/>
                <w:szCs w:val="24"/>
              </w:rPr>
              <w:t>2</w:t>
            </w:r>
            <w:r>
              <w:rPr>
                <w:rFonts w:hint="eastAsia" w:ascii="仿宋_GB2312" w:hAnsi="宋体" w:eastAsia="仿宋_GB2312" w:cs="宋体"/>
                <w:color w:val="000000"/>
                <w:kern w:val="0"/>
                <w:sz w:val="24"/>
                <w:szCs w:val="24"/>
              </w:rPr>
              <w:t>.7</w:t>
            </w:r>
          </w:p>
        </w:tc>
        <w:tc>
          <w:tcPr>
            <w:tcW w:w="851"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ascii="仿宋_GB2312" w:eastAsia="仿宋_GB2312"/>
                <w:sz w:val="24"/>
                <w:szCs w:val="24"/>
              </w:rPr>
              <w:t>2</w:t>
            </w:r>
            <w:r>
              <w:rPr>
                <w:rFonts w:hint="eastAsia" w:ascii="仿宋_GB2312" w:eastAsia="仿宋_GB2312"/>
                <w:sz w:val="24"/>
                <w:szCs w:val="24"/>
              </w:rPr>
              <w:t>.41</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hint="eastAsia" w:ascii="仿宋_GB2312" w:hAnsi="宋体" w:eastAsia="仿宋_GB2312" w:cs="宋体"/>
                <w:color w:val="000000"/>
                <w:kern w:val="0"/>
                <w:sz w:val="24"/>
                <w:szCs w:val="24"/>
              </w:rPr>
              <w:t>89.26%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63"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hint="eastAsia" w:ascii="仿宋_GB2312" w:hAnsi="宋体" w:eastAsia="仿宋_GB2312" w:cs="宋体"/>
                <w:color w:val="000000"/>
                <w:kern w:val="0"/>
                <w:sz w:val="24"/>
                <w:szCs w:val="24"/>
              </w:rPr>
              <w:t>“三公经费”控制率</w:t>
            </w:r>
          </w:p>
        </w:tc>
        <w:tc>
          <w:tcPr>
            <w:tcW w:w="1701"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hint="eastAsia" w:ascii="仿宋_GB2312" w:hAnsi="宋体" w:eastAsia="仿宋_GB2312" w:cs="宋体"/>
                <w:color w:val="000000"/>
                <w:kern w:val="0"/>
                <w:sz w:val="24"/>
                <w:szCs w:val="24"/>
              </w:rPr>
              <w:t>100%</w:t>
            </w:r>
          </w:p>
        </w:tc>
        <w:tc>
          <w:tcPr>
            <w:tcW w:w="1560"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hint="eastAsia" w:ascii="仿宋_GB2312" w:hAnsi="宋体" w:eastAsia="仿宋_GB2312" w:cs="宋体"/>
                <w:color w:val="000000"/>
                <w:kern w:val="0"/>
                <w:sz w:val="24"/>
                <w:szCs w:val="24"/>
              </w:rPr>
              <w:t>66.73%</w:t>
            </w:r>
          </w:p>
        </w:tc>
        <w:tc>
          <w:tcPr>
            <w:tcW w:w="850"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hAnsi="宋体" w:eastAsia="仿宋_GB2312" w:cs="宋体"/>
                <w:color w:val="000000"/>
                <w:kern w:val="0"/>
                <w:sz w:val="24"/>
                <w:szCs w:val="24"/>
              </w:rPr>
            </w:pPr>
            <w:r>
              <w:rPr>
                <w:rFonts w:ascii="仿宋_GB2312" w:hAnsi="宋体" w:eastAsia="仿宋_GB2312" w:cs="宋体"/>
                <w:color w:val="000000"/>
                <w:kern w:val="0"/>
                <w:sz w:val="24"/>
                <w:szCs w:val="24"/>
              </w:rPr>
              <w:t>2</w:t>
            </w:r>
            <w:r>
              <w:rPr>
                <w:rFonts w:hint="eastAsia" w:ascii="仿宋_GB2312" w:hAnsi="宋体" w:eastAsia="仿宋_GB2312" w:cs="宋体"/>
                <w:color w:val="000000"/>
                <w:kern w:val="0"/>
                <w:sz w:val="24"/>
                <w:szCs w:val="24"/>
              </w:rPr>
              <w:t>.7</w:t>
            </w:r>
          </w:p>
        </w:tc>
        <w:tc>
          <w:tcPr>
            <w:tcW w:w="851"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hint="eastAsia" w:ascii="仿宋_GB2312" w:eastAsia="仿宋_GB2312"/>
                <w:sz w:val="24"/>
                <w:szCs w:val="24"/>
              </w:rPr>
              <w:t>1.8</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hint="eastAsia" w:ascii="仿宋_GB2312" w:hAnsi="宋体" w:eastAsia="仿宋_GB2312" w:cs="宋体"/>
                <w:color w:val="000000"/>
                <w:kern w:val="0"/>
                <w:sz w:val="24"/>
                <w:szCs w:val="24"/>
              </w:rPr>
              <w:t>66.67%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63"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hint="eastAsia" w:ascii="仿宋_GB2312" w:hAnsi="宋体" w:eastAsia="仿宋_GB2312" w:cs="宋体"/>
                <w:color w:val="000000"/>
                <w:kern w:val="0"/>
                <w:sz w:val="24"/>
                <w:szCs w:val="24"/>
              </w:rPr>
              <w:t>结转结余变动率</w:t>
            </w:r>
          </w:p>
        </w:tc>
        <w:tc>
          <w:tcPr>
            <w:tcW w:w="1701"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hint="eastAsia" w:ascii="仿宋_GB2312" w:hAnsi="宋体" w:eastAsia="仿宋_GB2312" w:cs="宋体"/>
                <w:color w:val="000000"/>
                <w:kern w:val="0"/>
                <w:sz w:val="24"/>
                <w:szCs w:val="24"/>
              </w:rPr>
              <w:t>≤100%</w:t>
            </w:r>
          </w:p>
        </w:tc>
        <w:tc>
          <w:tcPr>
            <w:tcW w:w="1560"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hint="eastAsia" w:ascii="仿宋_GB2312" w:hAnsi="宋体" w:eastAsia="仿宋_GB2312" w:cs="宋体"/>
                <w:color w:val="000000"/>
                <w:kern w:val="0"/>
                <w:sz w:val="24"/>
                <w:szCs w:val="24"/>
              </w:rPr>
              <w:t>67.76%</w:t>
            </w:r>
          </w:p>
        </w:tc>
        <w:tc>
          <w:tcPr>
            <w:tcW w:w="850"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hAnsi="宋体" w:eastAsia="仿宋_GB2312" w:cs="宋体"/>
                <w:color w:val="000000"/>
                <w:kern w:val="0"/>
                <w:sz w:val="24"/>
                <w:szCs w:val="24"/>
              </w:rPr>
            </w:pPr>
            <w:r>
              <w:rPr>
                <w:rFonts w:ascii="仿宋_GB2312" w:hAnsi="宋体" w:eastAsia="仿宋_GB2312" w:cs="宋体"/>
                <w:color w:val="000000"/>
                <w:kern w:val="0"/>
                <w:sz w:val="24"/>
                <w:szCs w:val="24"/>
              </w:rPr>
              <w:t>2</w:t>
            </w:r>
            <w:r>
              <w:rPr>
                <w:rFonts w:hint="eastAsia" w:ascii="仿宋_GB2312" w:hAnsi="宋体" w:eastAsia="仿宋_GB2312" w:cs="宋体"/>
                <w:color w:val="000000"/>
                <w:kern w:val="0"/>
                <w:sz w:val="24"/>
                <w:szCs w:val="24"/>
              </w:rPr>
              <w:t>.7</w:t>
            </w:r>
          </w:p>
        </w:tc>
        <w:tc>
          <w:tcPr>
            <w:tcW w:w="851"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hint="eastAsia" w:ascii="仿宋_GB2312" w:eastAsia="仿宋_GB2312"/>
                <w:sz w:val="24"/>
                <w:szCs w:val="24"/>
              </w:rPr>
              <w:t>1.83</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hint="eastAsia" w:ascii="仿宋_GB2312" w:hAnsi="宋体" w:eastAsia="仿宋_GB2312" w:cs="宋体"/>
                <w:color w:val="000000"/>
                <w:kern w:val="0"/>
                <w:sz w:val="24"/>
                <w:szCs w:val="24"/>
              </w:rPr>
              <w:t>67.78%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63"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hint="eastAsia" w:ascii="仿宋_GB2312" w:hAnsi="宋体" w:eastAsia="仿宋_GB2312" w:cs="宋体"/>
                <w:color w:val="000000"/>
                <w:kern w:val="0"/>
                <w:sz w:val="24"/>
                <w:szCs w:val="24"/>
              </w:rPr>
              <w:t>财务管理制度健全性</w:t>
            </w:r>
          </w:p>
        </w:tc>
        <w:tc>
          <w:tcPr>
            <w:tcW w:w="1701"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hint="eastAsia" w:ascii="仿宋_GB2312" w:hAnsi="宋体" w:eastAsia="仿宋_GB2312" w:cs="宋体"/>
                <w:color w:val="000000"/>
                <w:kern w:val="0"/>
                <w:sz w:val="24"/>
                <w:szCs w:val="24"/>
              </w:rPr>
              <w:t>健全</w:t>
            </w:r>
          </w:p>
        </w:tc>
        <w:tc>
          <w:tcPr>
            <w:tcW w:w="1560"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ascii="仿宋_GB2312" w:hAnsi="宋体" w:eastAsia="仿宋_GB2312" w:cs="宋体"/>
                <w:color w:val="000000"/>
                <w:kern w:val="0"/>
                <w:sz w:val="24"/>
                <w:szCs w:val="24"/>
              </w:rPr>
              <w:t>100</w:t>
            </w:r>
            <w:r>
              <w:rPr>
                <w:rFonts w:hint="eastAsia" w:ascii="仿宋_GB2312" w:hAnsi="宋体" w:eastAsia="仿宋_GB2312" w:cs="宋体"/>
                <w:color w:val="000000"/>
                <w:kern w:val="0"/>
                <w:sz w:val="24"/>
                <w:szCs w:val="24"/>
              </w:rPr>
              <w:t>%</w:t>
            </w:r>
          </w:p>
        </w:tc>
        <w:tc>
          <w:tcPr>
            <w:tcW w:w="850"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hAnsi="宋体" w:eastAsia="仿宋_GB2312" w:cs="宋体"/>
                <w:color w:val="000000"/>
                <w:kern w:val="0"/>
                <w:sz w:val="24"/>
                <w:szCs w:val="24"/>
              </w:rPr>
            </w:pPr>
            <w:r>
              <w:rPr>
                <w:rFonts w:ascii="仿宋_GB2312" w:hAnsi="宋体" w:eastAsia="仿宋_GB2312" w:cs="宋体"/>
                <w:color w:val="000000"/>
                <w:kern w:val="0"/>
                <w:sz w:val="24"/>
                <w:szCs w:val="24"/>
              </w:rPr>
              <w:t>2</w:t>
            </w:r>
            <w:r>
              <w:rPr>
                <w:rFonts w:hint="eastAsia" w:ascii="仿宋_GB2312" w:hAnsi="宋体" w:eastAsia="仿宋_GB2312" w:cs="宋体"/>
                <w:color w:val="000000"/>
                <w:kern w:val="0"/>
                <w:sz w:val="24"/>
                <w:szCs w:val="24"/>
              </w:rPr>
              <w:t>.7</w:t>
            </w:r>
          </w:p>
        </w:tc>
        <w:tc>
          <w:tcPr>
            <w:tcW w:w="851"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hint="eastAsia" w:ascii="仿宋_GB2312" w:eastAsia="仿宋_GB2312"/>
                <w:sz w:val="24"/>
                <w:szCs w:val="24"/>
              </w:rPr>
              <w:t>2.7</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ascii="仿宋_GB2312" w:hAnsi="宋体" w:eastAsia="仿宋_GB2312" w:cs="宋体"/>
                <w:color w:val="000000"/>
                <w:kern w:val="0"/>
                <w:sz w:val="24"/>
                <w:szCs w:val="24"/>
              </w:rPr>
              <w:t>100</w:t>
            </w:r>
            <w:r>
              <w:rPr>
                <w:rFonts w:hint="eastAsia" w:ascii="仿宋_GB2312" w:hAnsi="宋体" w:eastAsia="仿宋_GB2312" w:cs="宋体"/>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63"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hint="eastAsia" w:ascii="仿宋_GB2312" w:hAnsi="宋体" w:eastAsia="仿宋_GB2312" w:cs="宋体"/>
                <w:color w:val="000000"/>
                <w:kern w:val="0"/>
                <w:sz w:val="24"/>
                <w:szCs w:val="24"/>
              </w:rPr>
              <w:t>资金使用规范性</w:t>
            </w:r>
          </w:p>
        </w:tc>
        <w:tc>
          <w:tcPr>
            <w:tcW w:w="1701"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hint="eastAsia" w:ascii="仿宋_GB2312" w:hAnsi="宋体" w:eastAsia="仿宋_GB2312" w:cs="宋体"/>
                <w:color w:val="000000"/>
                <w:kern w:val="0"/>
                <w:sz w:val="24"/>
                <w:szCs w:val="24"/>
              </w:rPr>
              <w:t>规范</w:t>
            </w:r>
          </w:p>
        </w:tc>
        <w:tc>
          <w:tcPr>
            <w:tcW w:w="1560"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hint="eastAsia" w:ascii="仿宋_GB2312" w:hAnsi="宋体" w:eastAsia="仿宋_GB2312" w:cs="宋体"/>
                <w:color w:val="000000"/>
                <w:kern w:val="0"/>
                <w:sz w:val="24"/>
                <w:szCs w:val="24"/>
              </w:rPr>
              <w:t>100%</w:t>
            </w:r>
          </w:p>
        </w:tc>
        <w:tc>
          <w:tcPr>
            <w:tcW w:w="850"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hAnsi="宋体" w:eastAsia="仿宋_GB2312" w:cs="宋体"/>
                <w:color w:val="000000"/>
                <w:kern w:val="0"/>
                <w:sz w:val="24"/>
                <w:szCs w:val="24"/>
              </w:rPr>
            </w:pPr>
            <w:r>
              <w:rPr>
                <w:rFonts w:ascii="仿宋_GB2312" w:hAnsi="宋体" w:eastAsia="仿宋_GB2312" w:cs="宋体"/>
                <w:color w:val="000000"/>
                <w:kern w:val="0"/>
                <w:sz w:val="24"/>
                <w:szCs w:val="24"/>
              </w:rPr>
              <w:t>2</w:t>
            </w:r>
            <w:r>
              <w:rPr>
                <w:rFonts w:hint="eastAsia" w:ascii="仿宋_GB2312" w:hAnsi="宋体" w:eastAsia="仿宋_GB2312" w:cs="宋体"/>
                <w:color w:val="000000"/>
                <w:kern w:val="0"/>
                <w:sz w:val="24"/>
                <w:szCs w:val="24"/>
              </w:rPr>
              <w:t>.7</w:t>
            </w:r>
          </w:p>
        </w:tc>
        <w:tc>
          <w:tcPr>
            <w:tcW w:w="851"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ascii="仿宋_GB2312" w:eastAsia="仿宋_GB2312"/>
                <w:sz w:val="24"/>
                <w:szCs w:val="24"/>
              </w:rPr>
              <w:t>2</w:t>
            </w:r>
            <w:r>
              <w:rPr>
                <w:rFonts w:hint="eastAsia" w:ascii="仿宋_GB2312" w:eastAsia="仿宋_GB2312"/>
                <w:sz w:val="24"/>
                <w:szCs w:val="24"/>
              </w:rPr>
              <w:t>.7</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hint="eastAsia" w:ascii="仿宋_GB2312" w:hAnsi="宋体" w:eastAsia="仿宋_GB2312" w:cs="宋体"/>
                <w:color w:val="000000"/>
                <w:kern w:val="0"/>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63"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hint="eastAsia" w:ascii="仿宋_GB2312" w:hAnsi="宋体" w:eastAsia="仿宋_GB2312" w:cs="宋体"/>
                <w:color w:val="000000"/>
                <w:kern w:val="0"/>
                <w:sz w:val="24"/>
                <w:szCs w:val="24"/>
              </w:rPr>
              <w:t>政府采购规范性</w:t>
            </w:r>
          </w:p>
        </w:tc>
        <w:tc>
          <w:tcPr>
            <w:tcW w:w="1701"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hint="eastAsia" w:ascii="仿宋_GB2312" w:hAnsi="宋体" w:eastAsia="仿宋_GB2312" w:cs="宋体"/>
                <w:color w:val="000000"/>
                <w:kern w:val="0"/>
                <w:sz w:val="24"/>
                <w:szCs w:val="24"/>
              </w:rPr>
              <w:t>规范</w:t>
            </w:r>
          </w:p>
        </w:tc>
        <w:tc>
          <w:tcPr>
            <w:tcW w:w="1560"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hint="eastAsia" w:ascii="仿宋_GB2312" w:hAnsi="宋体" w:eastAsia="仿宋_GB2312" w:cs="宋体"/>
                <w:color w:val="000000"/>
                <w:kern w:val="0"/>
                <w:sz w:val="24"/>
                <w:szCs w:val="24"/>
              </w:rPr>
              <w:t>100%</w:t>
            </w:r>
          </w:p>
        </w:tc>
        <w:tc>
          <w:tcPr>
            <w:tcW w:w="850"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hAnsi="宋体" w:eastAsia="仿宋_GB2312" w:cs="宋体"/>
                <w:color w:val="000000"/>
                <w:kern w:val="0"/>
                <w:sz w:val="24"/>
                <w:szCs w:val="24"/>
              </w:rPr>
            </w:pPr>
            <w:r>
              <w:rPr>
                <w:rFonts w:ascii="仿宋_GB2312" w:hAnsi="宋体" w:eastAsia="仿宋_GB2312" w:cs="宋体"/>
                <w:color w:val="000000"/>
                <w:kern w:val="0"/>
                <w:sz w:val="24"/>
                <w:szCs w:val="24"/>
              </w:rPr>
              <w:t>2</w:t>
            </w:r>
            <w:r>
              <w:rPr>
                <w:rFonts w:hint="eastAsia" w:ascii="仿宋_GB2312" w:hAnsi="宋体" w:eastAsia="仿宋_GB2312" w:cs="宋体"/>
                <w:color w:val="000000"/>
                <w:kern w:val="0"/>
                <w:sz w:val="24"/>
                <w:szCs w:val="24"/>
              </w:rPr>
              <w:t>.7</w:t>
            </w:r>
          </w:p>
        </w:tc>
        <w:tc>
          <w:tcPr>
            <w:tcW w:w="851"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ascii="仿宋_GB2312" w:eastAsia="仿宋_GB2312"/>
                <w:sz w:val="24"/>
                <w:szCs w:val="24"/>
              </w:rPr>
              <w:t>2</w:t>
            </w:r>
            <w:r>
              <w:rPr>
                <w:rFonts w:hint="eastAsia" w:ascii="仿宋_GB2312" w:eastAsia="仿宋_GB2312"/>
                <w:sz w:val="24"/>
                <w:szCs w:val="24"/>
              </w:rPr>
              <w:t>.7</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hint="eastAsia" w:ascii="仿宋_GB2312" w:hAnsi="宋体" w:eastAsia="仿宋_GB2312" w:cs="宋体"/>
                <w:color w:val="000000"/>
                <w:kern w:val="0"/>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63"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hint="eastAsia" w:ascii="仿宋_GB2312" w:hAnsi="宋体" w:eastAsia="仿宋_GB2312" w:cs="宋体"/>
                <w:color w:val="000000"/>
                <w:kern w:val="0"/>
                <w:sz w:val="24"/>
                <w:szCs w:val="24"/>
              </w:rPr>
              <w:t>资产管理规范性</w:t>
            </w:r>
          </w:p>
        </w:tc>
        <w:tc>
          <w:tcPr>
            <w:tcW w:w="1701"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hint="eastAsia" w:ascii="仿宋_GB2312" w:hAnsi="宋体" w:eastAsia="仿宋_GB2312" w:cs="宋体"/>
                <w:color w:val="000000"/>
                <w:kern w:val="0"/>
                <w:sz w:val="24"/>
                <w:szCs w:val="24"/>
              </w:rPr>
              <w:t>规范</w:t>
            </w:r>
          </w:p>
        </w:tc>
        <w:tc>
          <w:tcPr>
            <w:tcW w:w="1560"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hint="eastAsia" w:ascii="仿宋_GB2312" w:hAnsi="宋体" w:eastAsia="仿宋_GB2312" w:cs="宋体"/>
                <w:color w:val="000000"/>
                <w:kern w:val="0"/>
                <w:sz w:val="24"/>
                <w:szCs w:val="24"/>
              </w:rPr>
              <w:t>100%</w:t>
            </w:r>
          </w:p>
        </w:tc>
        <w:tc>
          <w:tcPr>
            <w:tcW w:w="850"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hAnsi="宋体" w:eastAsia="仿宋_GB2312" w:cs="宋体"/>
                <w:color w:val="000000"/>
                <w:kern w:val="0"/>
                <w:sz w:val="24"/>
                <w:szCs w:val="24"/>
              </w:rPr>
            </w:pPr>
            <w:r>
              <w:rPr>
                <w:rFonts w:ascii="仿宋_GB2312" w:hAnsi="宋体" w:eastAsia="仿宋_GB2312" w:cs="宋体"/>
                <w:color w:val="000000"/>
                <w:kern w:val="0"/>
                <w:sz w:val="24"/>
                <w:szCs w:val="24"/>
              </w:rPr>
              <w:t>2</w:t>
            </w:r>
            <w:r>
              <w:rPr>
                <w:rFonts w:hint="eastAsia" w:ascii="仿宋_GB2312" w:hAnsi="宋体" w:eastAsia="仿宋_GB2312" w:cs="宋体"/>
                <w:color w:val="000000"/>
                <w:kern w:val="0"/>
                <w:sz w:val="24"/>
                <w:szCs w:val="24"/>
              </w:rPr>
              <w:t>.7</w:t>
            </w:r>
          </w:p>
        </w:tc>
        <w:tc>
          <w:tcPr>
            <w:tcW w:w="851"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ascii="仿宋_GB2312" w:eastAsia="仿宋_GB2312"/>
                <w:sz w:val="24"/>
                <w:szCs w:val="24"/>
              </w:rPr>
              <w:t>2</w:t>
            </w:r>
            <w:r>
              <w:rPr>
                <w:rFonts w:hint="eastAsia" w:ascii="仿宋_GB2312" w:eastAsia="仿宋_GB2312"/>
                <w:sz w:val="24"/>
                <w:szCs w:val="24"/>
              </w:rPr>
              <w:t>.7</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hint="eastAsia" w:ascii="仿宋_GB2312" w:hAnsi="宋体" w:eastAsia="仿宋_GB2312" w:cs="宋体"/>
                <w:color w:val="000000"/>
                <w:kern w:val="0"/>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63"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hint="eastAsia" w:ascii="仿宋_GB2312" w:hAnsi="宋体" w:eastAsia="仿宋_GB2312" w:cs="宋体"/>
                <w:color w:val="000000"/>
                <w:kern w:val="0"/>
                <w:sz w:val="24"/>
                <w:szCs w:val="24"/>
              </w:rPr>
              <w:t>在职人员控制率</w:t>
            </w:r>
          </w:p>
        </w:tc>
        <w:tc>
          <w:tcPr>
            <w:tcW w:w="1701"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hint="eastAsia" w:ascii="仿宋_GB2312" w:hAnsi="宋体" w:eastAsia="仿宋_GB2312" w:cs="宋体"/>
                <w:color w:val="000000"/>
                <w:kern w:val="0"/>
                <w:sz w:val="24"/>
                <w:szCs w:val="24"/>
              </w:rPr>
              <w:t>按要求控制</w:t>
            </w:r>
          </w:p>
        </w:tc>
        <w:tc>
          <w:tcPr>
            <w:tcW w:w="1560"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hint="eastAsia" w:ascii="仿宋_GB2312" w:hAnsi="宋体" w:eastAsia="仿宋_GB2312" w:cs="宋体"/>
                <w:color w:val="000000"/>
                <w:kern w:val="0"/>
                <w:sz w:val="24"/>
                <w:szCs w:val="24"/>
              </w:rPr>
              <w:t>80%</w:t>
            </w:r>
          </w:p>
        </w:tc>
        <w:tc>
          <w:tcPr>
            <w:tcW w:w="850"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hAnsi="宋体" w:eastAsia="仿宋_GB2312" w:cs="宋体"/>
                <w:color w:val="000000"/>
                <w:kern w:val="0"/>
                <w:sz w:val="24"/>
                <w:szCs w:val="24"/>
              </w:rPr>
            </w:pPr>
            <w:r>
              <w:rPr>
                <w:rFonts w:ascii="仿宋_GB2312" w:hAnsi="宋体" w:eastAsia="仿宋_GB2312" w:cs="宋体"/>
                <w:color w:val="000000"/>
                <w:kern w:val="0"/>
                <w:sz w:val="24"/>
                <w:szCs w:val="24"/>
              </w:rPr>
              <w:t>2</w:t>
            </w:r>
            <w:r>
              <w:rPr>
                <w:rFonts w:hint="eastAsia" w:ascii="仿宋_GB2312" w:hAnsi="宋体" w:eastAsia="仿宋_GB2312" w:cs="宋体"/>
                <w:color w:val="000000"/>
                <w:kern w:val="0"/>
                <w:sz w:val="24"/>
                <w:szCs w:val="24"/>
              </w:rPr>
              <w:t>.7</w:t>
            </w:r>
          </w:p>
        </w:tc>
        <w:tc>
          <w:tcPr>
            <w:tcW w:w="851"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hint="eastAsia" w:ascii="仿宋_GB2312" w:eastAsia="仿宋_GB2312"/>
                <w:sz w:val="24"/>
                <w:szCs w:val="24"/>
              </w:rPr>
              <w:t>2.16</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hint="eastAsia" w:ascii="仿宋_GB2312" w:hAnsi="宋体" w:eastAsia="仿宋_GB2312" w:cs="宋体"/>
                <w:color w:val="000000"/>
                <w:kern w:val="0"/>
                <w:sz w:val="24"/>
                <w:szCs w:val="24"/>
              </w:rPr>
              <w:t>8</w:t>
            </w:r>
            <w:r>
              <w:rPr>
                <w:rFonts w:ascii="仿宋_GB2312" w:hAnsi="宋体" w:eastAsia="仿宋_GB2312" w:cs="宋体"/>
                <w:color w:val="000000"/>
                <w:kern w:val="0"/>
                <w:sz w:val="24"/>
                <w:szCs w:val="24"/>
              </w:rPr>
              <w:t>0</w:t>
            </w:r>
            <w:r>
              <w:rPr>
                <w:rFonts w:hint="eastAsia" w:ascii="仿宋_GB2312" w:hAnsi="宋体" w:eastAsia="仿宋_GB2312" w:cs="宋体"/>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63"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hint="eastAsia" w:ascii="仿宋_GB2312" w:hAnsi="宋体" w:eastAsia="仿宋_GB2312" w:cs="宋体"/>
                <w:color w:val="000000"/>
                <w:kern w:val="0"/>
                <w:sz w:val="24"/>
                <w:szCs w:val="24"/>
              </w:rPr>
              <w:t>重点工作管理制度健全性</w:t>
            </w:r>
          </w:p>
        </w:tc>
        <w:tc>
          <w:tcPr>
            <w:tcW w:w="1701"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hint="eastAsia" w:ascii="仿宋_GB2312" w:hAnsi="宋体" w:eastAsia="仿宋_GB2312" w:cs="宋体"/>
                <w:color w:val="000000"/>
                <w:kern w:val="0"/>
                <w:sz w:val="24"/>
                <w:szCs w:val="24"/>
              </w:rPr>
              <w:t>健全</w:t>
            </w:r>
          </w:p>
        </w:tc>
        <w:tc>
          <w:tcPr>
            <w:tcW w:w="1560"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hint="eastAsia" w:ascii="仿宋_GB2312" w:hAnsi="宋体" w:eastAsia="仿宋_GB2312" w:cs="宋体"/>
                <w:color w:val="000000"/>
                <w:kern w:val="0"/>
                <w:sz w:val="24"/>
                <w:szCs w:val="24"/>
              </w:rPr>
              <w:t>100%</w:t>
            </w:r>
          </w:p>
        </w:tc>
        <w:tc>
          <w:tcPr>
            <w:tcW w:w="850"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hAnsi="宋体" w:eastAsia="仿宋_GB2312" w:cs="宋体"/>
                <w:color w:val="000000"/>
                <w:kern w:val="0"/>
                <w:sz w:val="24"/>
                <w:szCs w:val="24"/>
              </w:rPr>
            </w:pPr>
            <w:r>
              <w:rPr>
                <w:rFonts w:ascii="仿宋_GB2312" w:hAnsi="宋体" w:eastAsia="仿宋_GB2312" w:cs="宋体"/>
                <w:color w:val="000000"/>
                <w:kern w:val="0"/>
                <w:sz w:val="24"/>
                <w:szCs w:val="24"/>
              </w:rPr>
              <w:t>2</w:t>
            </w:r>
            <w:r>
              <w:rPr>
                <w:rFonts w:hint="eastAsia" w:ascii="仿宋_GB2312" w:hAnsi="宋体" w:eastAsia="仿宋_GB2312" w:cs="宋体"/>
                <w:color w:val="000000"/>
                <w:kern w:val="0"/>
                <w:sz w:val="24"/>
                <w:szCs w:val="24"/>
              </w:rPr>
              <w:t>.7</w:t>
            </w:r>
          </w:p>
        </w:tc>
        <w:tc>
          <w:tcPr>
            <w:tcW w:w="851"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ascii="仿宋_GB2312" w:eastAsia="仿宋_GB2312"/>
                <w:sz w:val="24"/>
                <w:szCs w:val="24"/>
              </w:rPr>
              <w:t>2</w:t>
            </w:r>
            <w:r>
              <w:rPr>
                <w:rFonts w:hint="eastAsia" w:ascii="仿宋_GB2312" w:eastAsia="仿宋_GB2312"/>
                <w:sz w:val="24"/>
                <w:szCs w:val="24"/>
              </w:rPr>
              <w:t>.7</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hint="eastAsia" w:ascii="仿宋_GB2312" w:hAnsi="宋体" w:eastAsia="仿宋_GB2312" w:cs="宋体"/>
                <w:color w:val="000000"/>
                <w:kern w:val="0"/>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24" w:type="dxa"/>
            <w:gridSpan w:val="3"/>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b/>
                <w:bCs/>
                <w:sz w:val="24"/>
                <w:szCs w:val="24"/>
              </w:rPr>
            </w:pPr>
            <w:r>
              <w:rPr>
                <w:rFonts w:hint="eastAsia" w:ascii="仿宋_GB2312" w:hAnsi="宋体" w:eastAsia="仿宋_GB2312" w:cs="宋体"/>
                <w:b/>
                <w:bCs/>
                <w:color w:val="000000"/>
                <w:kern w:val="0"/>
                <w:sz w:val="24"/>
                <w:szCs w:val="24"/>
              </w:rPr>
              <w:t>合计</w:t>
            </w:r>
          </w:p>
        </w:tc>
        <w:tc>
          <w:tcPr>
            <w:tcW w:w="850"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27</w:t>
            </w:r>
          </w:p>
        </w:tc>
        <w:tc>
          <w:tcPr>
            <w:tcW w:w="851"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b/>
                <w:bCs/>
                <w:sz w:val="24"/>
                <w:szCs w:val="24"/>
              </w:rPr>
            </w:pPr>
            <w:r>
              <w:rPr>
                <w:rFonts w:ascii="仿宋_GB2312" w:eastAsia="仿宋_GB2312"/>
                <w:b/>
                <w:bCs/>
                <w:sz w:val="24"/>
                <w:szCs w:val="24"/>
              </w:rPr>
              <w:t>24.4</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b/>
                <w:bCs/>
                <w:sz w:val="24"/>
                <w:szCs w:val="24"/>
              </w:rPr>
            </w:pPr>
            <w:r>
              <w:rPr>
                <w:rFonts w:ascii="仿宋_GB2312" w:hAnsi="宋体" w:eastAsia="仿宋_GB2312" w:cs="宋体"/>
                <w:b/>
                <w:bCs/>
                <w:color w:val="000000"/>
                <w:kern w:val="0"/>
                <w:sz w:val="24"/>
                <w:szCs w:val="24"/>
              </w:rPr>
              <w:t>90.37</w:t>
            </w:r>
            <w:r>
              <w:rPr>
                <w:rFonts w:hint="eastAsia" w:ascii="仿宋_GB2312" w:hAnsi="宋体" w:eastAsia="仿宋_GB2312" w:cs="宋体"/>
                <w:b/>
                <w:bCs/>
                <w:color w:val="000000"/>
                <w:kern w:val="0"/>
                <w:sz w:val="24"/>
                <w:szCs w:val="24"/>
              </w:rPr>
              <w:t>%</w:t>
            </w:r>
          </w:p>
        </w:tc>
      </w:tr>
    </w:tbl>
    <w:p>
      <w:pPr>
        <w:ind w:firstLine="562"/>
        <w:rPr>
          <w:rFonts w:hAnsi="宋体"/>
          <w:szCs w:val="28"/>
        </w:rPr>
      </w:pPr>
      <w:r>
        <w:rPr>
          <w:rFonts w:hint="eastAsia" w:hAnsi="宋体"/>
          <w:b/>
          <w:bCs/>
          <w:szCs w:val="28"/>
        </w:rPr>
        <w:t>基本支出预算执行率：</w:t>
      </w:r>
      <w:r>
        <w:rPr>
          <w:rFonts w:hint="eastAsia" w:hAnsi="宋体"/>
          <w:szCs w:val="28"/>
        </w:rPr>
        <w:t>20</w:t>
      </w:r>
      <w:r>
        <w:rPr>
          <w:rFonts w:hAnsi="宋体"/>
          <w:szCs w:val="28"/>
        </w:rPr>
        <w:t>2</w:t>
      </w:r>
      <w:r>
        <w:rPr>
          <w:rFonts w:hint="eastAsia" w:hAnsi="宋体"/>
          <w:szCs w:val="28"/>
        </w:rPr>
        <w:t>1年度基本支出全年预算数534.82万元，实际支出数491.53万元，基本支出预算执行率为91.91%。指标权重</w:t>
      </w:r>
      <w:r>
        <w:rPr>
          <w:rFonts w:hAnsi="宋体"/>
          <w:szCs w:val="28"/>
        </w:rPr>
        <w:t>2</w:t>
      </w:r>
      <w:r>
        <w:rPr>
          <w:rFonts w:hint="eastAsia" w:hAnsi="宋体"/>
          <w:szCs w:val="28"/>
        </w:rPr>
        <w:t>.7分，自评得分</w:t>
      </w:r>
      <w:r>
        <w:rPr>
          <w:rFonts w:hAnsi="宋体"/>
          <w:szCs w:val="28"/>
        </w:rPr>
        <w:t>2</w:t>
      </w:r>
      <w:r>
        <w:rPr>
          <w:rFonts w:hint="eastAsia" w:hAnsi="宋体"/>
          <w:szCs w:val="28"/>
        </w:rPr>
        <w:t>.7分，得分率为</w:t>
      </w:r>
      <w:r>
        <w:rPr>
          <w:rFonts w:hAnsi="宋体"/>
          <w:szCs w:val="28"/>
        </w:rPr>
        <w:t>100</w:t>
      </w:r>
      <w:r>
        <w:rPr>
          <w:rFonts w:hint="eastAsia" w:hAnsi="宋体"/>
          <w:szCs w:val="28"/>
        </w:rPr>
        <w:t>%。</w:t>
      </w:r>
    </w:p>
    <w:p>
      <w:pPr>
        <w:ind w:firstLine="562"/>
        <w:rPr>
          <w:rFonts w:hAnsi="宋体"/>
          <w:szCs w:val="28"/>
        </w:rPr>
      </w:pPr>
      <w:r>
        <w:rPr>
          <w:rFonts w:hint="eastAsia" w:hAnsi="宋体"/>
          <w:b/>
          <w:bCs/>
          <w:szCs w:val="28"/>
        </w:rPr>
        <w:t>项目支出预算执行率：</w:t>
      </w:r>
      <w:r>
        <w:rPr>
          <w:rFonts w:hint="eastAsia" w:hAnsi="宋体"/>
          <w:szCs w:val="28"/>
        </w:rPr>
        <w:t>2021年度项目支出全年预算数92.32万元，实际支出数82.32万元，项目支出预算执行率为89.17%。指标权重</w:t>
      </w:r>
      <w:r>
        <w:rPr>
          <w:rFonts w:hAnsi="宋体"/>
          <w:szCs w:val="28"/>
        </w:rPr>
        <w:t>2</w:t>
      </w:r>
      <w:r>
        <w:rPr>
          <w:rFonts w:hint="eastAsia" w:hAnsi="宋体"/>
          <w:szCs w:val="28"/>
        </w:rPr>
        <w:t>.7分，自评得分2.41分，得分率为89.26%，该指标产生偏差在正常范围内，接近90%，可忽略。</w:t>
      </w:r>
    </w:p>
    <w:p>
      <w:pPr>
        <w:ind w:firstLine="562"/>
      </w:pPr>
      <w:r>
        <w:rPr>
          <w:rFonts w:hint="eastAsia" w:hAnsi="宋体"/>
          <w:b/>
          <w:bCs/>
          <w:szCs w:val="28"/>
        </w:rPr>
        <w:t>“三公经费”控制率：</w:t>
      </w:r>
      <w:r>
        <w:rPr>
          <w:rFonts w:hint="eastAsia" w:hAnsi="宋体"/>
          <w:szCs w:val="28"/>
        </w:rPr>
        <w:t>2021年度“三公经费”预算数14.81万元，实际支出数9.88万元，“三公经费”控制率为66.71%。</w:t>
      </w:r>
      <w:r>
        <w:rPr>
          <w:rFonts w:hint="eastAsia"/>
        </w:rPr>
        <w:t>我单位</w:t>
      </w:r>
      <w:r>
        <w:t>能够按照国家、省市区有关履行节约的规定，对“三公”经费进行</w:t>
      </w:r>
      <w:r>
        <w:rPr>
          <w:rFonts w:hint="eastAsia"/>
        </w:rPr>
        <w:t>有效</w:t>
      </w:r>
      <w:r>
        <w:t>控制</w:t>
      </w:r>
      <w:r>
        <w:rPr>
          <w:rFonts w:hint="eastAsia"/>
        </w:rPr>
        <w:t>。指标权重</w:t>
      </w:r>
      <w:r>
        <w:t>2</w:t>
      </w:r>
      <w:r>
        <w:rPr>
          <w:rFonts w:hint="eastAsia"/>
        </w:rPr>
        <w:t>.7分，自评得分1.8分，得分率为66.67%。因年初设置指标时误将目标值“≤</w:t>
      </w:r>
      <w:r>
        <w:t>100%”设为“＝100%”</w:t>
      </w:r>
      <w:r>
        <w:rPr>
          <w:rFonts w:hint="eastAsia"/>
        </w:rPr>
        <w:t>导致扣分，我单位下一年度将正确设置指标值。</w:t>
      </w:r>
    </w:p>
    <w:p>
      <w:pPr>
        <w:ind w:firstLine="562"/>
        <w:rPr>
          <w:rFonts w:hAnsi="宋体"/>
          <w:szCs w:val="28"/>
        </w:rPr>
      </w:pPr>
      <w:r>
        <w:rPr>
          <w:rFonts w:hint="eastAsia" w:hAnsi="宋体"/>
          <w:b/>
          <w:bCs/>
          <w:szCs w:val="28"/>
        </w:rPr>
        <w:t>结转结余变动率：</w:t>
      </w:r>
      <w:r>
        <w:rPr>
          <w:rFonts w:hint="eastAsia" w:hAnsi="宋体"/>
          <w:szCs w:val="28"/>
        </w:rPr>
        <w:t>年末结转结余资金53.29万元，结转结余变动率为67.76%。指标权重</w:t>
      </w:r>
      <w:r>
        <w:rPr>
          <w:rFonts w:hAnsi="宋体"/>
          <w:szCs w:val="28"/>
        </w:rPr>
        <w:t>2</w:t>
      </w:r>
      <w:r>
        <w:rPr>
          <w:rFonts w:hint="eastAsia" w:hAnsi="宋体"/>
          <w:szCs w:val="28"/>
        </w:rPr>
        <w:t>.7分，自评得分1.83分，得分率为67.78%。该指标年初设置指标时误将目标值“≤</w:t>
      </w:r>
      <w:r>
        <w:rPr>
          <w:rFonts w:hAnsi="宋体"/>
          <w:szCs w:val="28"/>
        </w:rPr>
        <w:t>0%”设为“≤100%”，</w:t>
      </w:r>
      <w:r>
        <w:rPr>
          <w:rFonts w:hint="eastAsia" w:hAnsi="宋体"/>
          <w:szCs w:val="28"/>
        </w:rPr>
        <w:t>且因</w:t>
      </w:r>
      <w:r>
        <w:rPr>
          <w:rFonts w:hAnsi="宋体"/>
          <w:szCs w:val="28"/>
        </w:rPr>
        <w:t>疫情影响减少了调研、培训等支出</w:t>
      </w:r>
      <w:r>
        <w:rPr>
          <w:rFonts w:hint="eastAsia" w:hAnsi="宋体"/>
          <w:szCs w:val="28"/>
        </w:rPr>
        <w:t>，使得结转结余较去年增多，下年度我单位在目标值设置合理的前提下，将严格按照工作计划和年初预算安排工作。</w:t>
      </w:r>
    </w:p>
    <w:p>
      <w:pPr>
        <w:ind w:firstLine="562"/>
        <w:rPr>
          <w:rFonts w:hAnsi="宋体"/>
          <w:szCs w:val="28"/>
        </w:rPr>
      </w:pPr>
      <w:r>
        <w:rPr>
          <w:rFonts w:hint="eastAsia" w:hAnsi="宋体"/>
          <w:b/>
          <w:bCs/>
          <w:szCs w:val="28"/>
        </w:rPr>
        <w:t>财务管理制度健全性：</w:t>
      </w:r>
      <w:r>
        <w:rPr>
          <w:rFonts w:hint="eastAsia" w:hAnsi="宋体"/>
          <w:szCs w:val="28"/>
        </w:rPr>
        <w:t>我单位制定了《民革甘肃省委会机关财务管理细则》《民革甘肃省委会机关公务接待管理规定》《民革甘肃省委会机关预决算信息公开管理办法》《民革甘肃省委会机关差旅费管理办法》《中国国民党革命委员会甘肃省委员会主委会议、常委会议伙食交通补助管理办法》《民革甘肃省委会机关“三重一大”事项决策实施办法》等财务管理制度，对资金开支有完备的审批流程和管控手续。大额资金均由三重一大”事项决策会研究通过后使用。在预算执行、事项支出、会计核算以及重大事项支出程序等方面不存在不规范现象，无虚列项目支出、截留、挤占、挪用项目资金等情况。指标权重</w:t>
      </w:r>
      <w:r>
        <w:rPr>
          <w:rFonts w:hAnsi="宋体"/>
          <w:szCs w:val="28"/>
        </w:rPr>
        <w:t>2</w:t>
      </w:r>
      <w:r>
        <w:rPr>
          <w:rFonts w:hint="eastAsia" w:hAnsi="宋体"/>
          <w:szCs w:val="28"/>
        </w:rPr>
        <w:t>.7分，自评得分2.7分，得分率为</w:t>
      </w:r>
      <w:r>
        <w:rPr>
          <w:rFonts w:hAnsi="宋体"/>
          <w:szCs w:val="28"/>
        </w:rPr>
        <w:t>100</w:t>
      </w:r>
      <w:r>
        <w:rPr>
          <w:rFonts w:hint="eastAsia" w:hAnsi="宋体"/>
          <w:szCs w:val="28"/>
        </w:rPr>
        <w:t>%。</w:t>
      </w:r>
    </w:p>
    <w:p>
      <w:pPr>
        <w:ind w:firstLine="562"/>
        <w:rPr>
          <w:rFonts w:hAnsi="宋体"/>
          <w:szCs w:val="28"/>
        </w:rPr>
      </w:pPr>
      <w:r>
        <w:rPr>
          <w:rFonts w:hint="eastAsia" w:hAnsi="宋体"/>
          <w:b/>
          <w:bCs/>
          <w:szCs w:val="28"/>
        </w:rPr>
        <w:t>资金使用规范性：</w:t>
      </w:r>
      <w:r>
        <w:rPr>
          <w:rFonts w:hint="eastAsia" w:hAnsi="宋体"/>
          <w:szCs w:val="28"/>
        </w:rPr>
        <w:t>资金支出总体上审批程序合规、手续齐全，支出内容符合省财政预算批复规定的用途。指标权重</w:t>
      </w:r>
      <w:r>
        <w:rPr>
          <w:rFonts w:hAnsi="宋体"/>
          <w:szCs w:val="28"/>
        </w:rPr>
        <w:t>2</w:t>
      </w:r>
      <w:r>
        <w:rPr>
          <w:rFonts w:hint="eastAsia" w:hAnsi="宋体"/>
          <w:szCs w:val="28"/>
        </w:rPr>
        <w:t>.7分，自评得分</w:t>
      </w:r>
      <w:r>
        <w:rPr>
          <w:rFonts w:hAnsi="宋体"/>
          <w:szCs w:val="28"/>
        </w:rPr>
        <w:t>2</w:t>
      </w:r>
      <w:r>
        <w:rPr>
          <w:rFonts w:hint="eastAsia" w:hAnsi="宋体"/>
          <w:szCs w:val="28"/>
        </w:rPr>
        <w:t>.7分，得分率为100%。</w:t>
      </w:r>
    </w:p>
    <w:p>
      <w:pPr>
        <w:ind w:firstLine="562"/>
        <w:rPr>
          <w:rFonts w:hAnsi="宋体"/>
          <w:szCs w:val="28"/>
        </w:rPr>
      </w:pPr>
      <w:r>
        <w:rPr>
          <w:rFonts w:hint="eastAsia" w:hAnsi="宋体"/>
          <w:b/>
          <w:bCs/>
          <w:szCs w:val="28"/>
        </w:rPr>
        <w:t>政府采购规范性：</w:t>
      </w:r>
      <w:r>
        <w:rPr>
          <w:rFonts w:hint="eastAsia" w:hAnsi="宋体"/>
          <w:szCs w:val="28"/>
        </w:rPr>
        <w:t>采购实际执行情况与采购计划安排无差异，采购业务符合政府采购相关规定。指标权重</w:t>
      </w:r>
      <w:r>
        <w:rPr>
          <w:rFonts w:hAnsi="宋体"/>
          <w:szCs w:val="28"/>
        </w:rPr>
        <w:t>2</w:t>
      </w:r>
      <w:r>
        <w:rPr>
          <w:rFonts w:hint="eastAsia" w:hAnsi="宋体"/>
          <w:szCs w:val="28"/>
        </w:rPr>
        <w:t>.7分，自评得分</w:t>
      </w:r>
      <w:r>
        <w:rPr>
          <w:rFonts w:hAnsi="宋体"/>
          <w:szCs w:val="28"/>
        </w:rPr>
        <w:t>2</w:t>
      </w:r>
      <w:r>
        <w:rPr>
          <w:rFonts w:hint="eastAsia" w:hAnsi="宋体"/>
          <w:szCs w:val="28"/>
        </w:rPr>
        <w:t>.7分，得分率为100%。</w:t>
      </w:r>
    </w:p>
    <w:p>
      <w:pPr>
        <w:ind w:firstLine="562"/>
        <w:rPr>
          <w:rFonts w:hAnsi="宋体"/>
          <w:szCs w:val="28"/>
        </w:rPr>
      </w:pPr>
      <w:r>
        <w:rPr>
          <w:rFonts w:hint="eastAsia" w:hAnsi="宋体"/>
          <w:b/>
          <w:bCs/>
          <w:szCs w:val="28"/>
        </w:rPr>
        <w:t>资产管理规范性：</w:t>
      </w:r>
      <w:r>
        <w:rPr>
          <w:rFonts w:hint="eastAsia" w:hAnsi="宋体"/>
          <w:szCs w:val="28"/>
        </w:rPr>
        <w:t>2021年我单位账务和资产卡片数据相符，资产保存完整、使用合规、配置合理、处置规范，资产处置收入能够及时足额上缴财政，资产管理符合我单位制定的《民革甘肃省委会机关财务管理细则》。指标权重</w:t>
      </w:r>
      <w:r>
        <w:rPr>
          <w:rFonts w:hAnsi="宋体"/>
          <w:szCs w:val="28"/>
        </w:rPr>
        <w:t>2</w:t>
      </w:r>
      <w:r>
        <w:rPr>
          <w:rFonts w:hint="eastAsia" w:hAnsi="宋体"/>
          <w:szCs w:val="28"/>
        </w:rPr>
        <w:t>.7分，自评得分</w:t>
      </w:r>
      <w:r>
        <w:rPr>
          <w:rFonts w:hAnsi="宋体"/>
          <w:szCs w:val="28"/>
        </w:rPr>
        <w:t>2</w:t>
      </w:r>
      <w:r>
        <w:rPr>
          <w:rFonts w:hint="eastAsia" w:hAnsi="宋体"/>
          <w:szCs w:val="28"/>
        </w:rPr>
        <w:t>.7分，得分率为</w:t>
      </w:r>
      <w:r>
        <w:rPr>
          <w:rFonts w:hAnsi="宋体"/>
          <w:szCs w:val="28"/>
        </w:rPr>
        <w:t>100</w:t>
      </w:r>
      <w:r>
        <w:rPr>
          <w:rFonts w:hint="eastAsia" w:hAnsi="宋体"/>
          <w:szCs w:val="28"/>
        </w:rPr>
        <w:t>%。</w:t>
      </w:r>
    </w:p>
    <w:p>
      <w:pPr>
        <w:ind w:firstLine="562"/>
        <w:rPr>
          <w:rFonts w:hAnsi="宋体"/>
          <w:szCs w:val="28"/>
        </w:rPr>
      </w:pPr>
      <w:r>
        <w:rPr>
          <w:rFonts w:hint="eastAsia" w:hAnsi="宋体"/>
          <w:b/>
          <w:bCs/>
          <w:szCs w:val="28"/>
        </w:rPr>
        <w:t>在职人员控制率：</w:t>
      </w:r>
      <w:r>
        <w:rPr>
          <w:rFonts w:hint="eastAsia" w:hAnsi="宋体"/>
          <w:szCs w:val="28"/>
        </w:rPr>
        <w:t>人员管理较为规范，单位整体的财政供养人员规模能够有效控制。单位编制30人，在职24人，在职人员控制率为80%。指标权重</w:t>
      </w:r>
      <w:r>
        <w:rPr>
          <w:rFonts w:hAnsi="宋体"/>
          <w:szCs w:val="28"/>
        </w:rPr>
        <w:t>2</w:t>
      </w:r>
      <w:r>
        <w:rPr>
          <w:rFonts w:hint="eastAsia" w:hAnsi="宋体"/>
          <w:szCs w:val="28"/>
        </w:rPr>
        <w:t>.7分，自评得分2.16分，得分率为80%。该指标产生</w:t>
      </w:r>
      <w:bookmarkStart w:id="29" w:name="_Hlk64882501"/>
      <w:r>
        <w:rPr>
          <w:rFonts w:hint="eastAsia" w:hAnsi="宋体"/>
          <w:szCs w:val="28"/>
        </w:rPr>
        <w:t>偏差原因：因我单位年初实有人数25人，调出2人，选调1人，年末实有人数24人，少一人。改进措施：我单位在目标编制时将目标值应设为≤100%。</w:t>
      </w:r>
    </w:p>
    <w:p>
      <w:pPr>
        <w:ind w:firstLine="562"/>
        <w:rPr>
          <w:rFonts w:hAnsi="宋体"/>
          <w:szCs w:val="28"/>
        </w:rPr>
      </w:pPr>
      <w:r>
        <w:rPr>
          <w:rFonts w:hint="eastAsia" w:hAnsi="宋体"/>
          <w:b/>
          <w:bCs/>
          <w:szCs w:val="28"/>
        </w:rPr>
        <w:t>重点工作管理制度健全性：</w:t>
      </w:r>
      <w:r>
        <w:rPr>
          <w:rFonts w:hint="eastAsia" w:hAnsi="宋体"/>
          <w:szCs w:val="28"/>
        </w:rPr>
        <w:t>我单位针对重点工作，制定了《中国国民党革命委员会甘肃省委员会委员履行职责管理办法》《中国国民党革命委员会甘肃省委员会参政议政工作考核办法》《中国国民党革命委员会甘肃省委员会年度参政议政成果评审奖励办法(修订)》《中国国民党革命委员会甘肃省委员会宣传报道工作管理办法》《中国国民党革命委员会甘肃省委员会主委联系地方党委主要领导、驻会副主委联系统战部门主要领导办法》《中国国民党革命委员会甘肃省委员会机关干部服务人大代表、政协委员实施办法》等工作管理制度，制度合法、合规、完整，并且能够有效执行和指导重点工作的有效推进和实施。指标权重</w:t>
      </w:r>
      <w:r>
        <w:rPr>
          <w:rFonts w:hAnsi="宋体"/>
          <w:szCs w:val="28"/>
        </w:rPr>
        <w:t>2</w:t>
      </w:r>
      <w:r>
        <w:rPr>
          <w:rFonts w:hint="eastAsia" w:hAnsi="宋体"/>
          <w:szCs w:val="28"/>
        </w:rPr>
        <w:t>.7分，自评得分</w:t>
      </w:r>
      <w:r>
        <w:rPr>
          <w:rFonts w:hAnsi="宋体"/>
          <w:szCs w:val="28"/>
        </w:rPr>
        <w:t>2</w:t>
      </w:r>
      <w:r>
        <w:rPr>
          <w:rFonts w:hint="eastAsia" w:hAnsi="宋体"/>
          <w:szCs w:val="28"/>
        </w:rPr>
        <w:t>.7分，得分率为100%。</w:t>
      </w:r>
      <w:bookmarkEnd w:id="29"/>
    </w:p>
    <w:p>
      <w:pPr>
        <w:pStyle w:val="4"/>
        <w:ind w:firstLine="562"/>
      </w:pPr>
      <w:bookmarkStart w:id="30" w:name="_Toc40046032"/>
      <w:r>
        <w:rPr>
          <w:rFonts w:hint="eastAsia"/>
        </w:rPr>
        <w:t>3、履职效果</w:t>
      </w:r>
      <w:bookmarkEnd w:id="30"/>
    </w:p>
    <w:p>
      <w:pPr>
        <w:pStyle w:val="4"/>
        <w:ind w:firstLine="562"/>
      </w:pPr>
      <w:r>
        <w:rPr>
          <w:rFonts w:hint="eastAsia"/>
        </w:rPr>
        <w:t>（1）部门履职目标</w:t>
      </w:r>
    </w:p>
    <w:p>
      <w:pPr>
        <w:ind w:firstLine="560"/>
        <w:rPr>
          <w:rFonts w:hAnsi="宋体"/>
          <w:szCs w:val="28"/>
        </w:rPr>
      </w:pPr>
      <w:r>
        <w:rPr>
          <w:rFonts w:hint="eastAsia" w:hAnsi="宋体"/>
          <w:szCs w:val="28"/>
        </w:rPr>
        <w:t>根据部门重点工作任务，二级指标部门履职目标下设5个三级指标。指标权重合计27分，自评得分</w:t>
      </w:r>
      <w:r>
        <w:rPr>
          <w:rFonts w:hAnsi="宋体"/>
          <w:szCs w:val="28"/>
        </w:rPr>
        <w:t>2</w:t>
      </w:r>
      <w:r>
        <w:rPr>
          <w:rFonts w:hint="eastAsia" w:hAnsi="宋体"/>
          <w:szCs w:val="28"/>
        </w:rPr>
        <w:t>1.</w:t>
      </w:r>
      <w:r>
        <w:rPr>
          <w:rFonts w:hAnsi="宋体"/>
          <w:szCs w:val="28"/>
        </w:rPr>
        <w:t>53</w:t>
      </w:r>
      <w:r>
        <w:rPr>
          <w:rFonts w:hint="eastAsia" w:hAnsi="宋体"/>
          <w:szCs w:val="28"/>
        </w:rPr>
        <w:t>分，得分率为</w:t>
      </w:r>
      <w:r>
        <w:rPr>
          <w:rFonts w:hAnsi="宋体"/>
          <w:szCs w:val="28"/>
        </w:rPr>
        <w:t>79.74</w:t>
      </w:r>
      <w:r>
        <w:rPr>
          <w:rFonts w:hint="eastAsia" w:hAnsi="宋体"/>
          <w:szCs w:val="28"/>
        </w:rPr>
        <w:t>%。</w:t>
      </w:r>
    </w:p>
    <w:tbl>
      <w:tblPr>
        <w:tblStyle w:val="18"/>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1621"/>
        <w:gridCol w:w="1781"/>
        <w:gridCol w:w="739"/>
        <w:gridCol w:w="821"/>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2405"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rPr>
                <w:rFonts w:hint="eastAsia" w:ascii="仿宋_GB2312" w:eastAsia="仿宋_GB2312"/>
                <w:sz w:val="24"/>
                <w:szCs w:val="24"/>
              </w:rPr>
            </w:pPr>
            <w:r>
              <w:rPr>
                <w:rFonts w:hint="eastAsia" w:ascii="仿宋_GB2312" w:hAnsi="宋体" w:eastAsia="仿宋_GB2312" w:cs="宋体"/>
                <w:b/>
                <w:bCs/>
                <w:color w:val="000000"/>
                <w:kern w:val="0"/>
                <w:sz w:val="24"/>
                <w:szCs w:val="24"/>
              </w:rPr>
              <w:t>三级指标</w:t>
            </w:r>
          </w:p>
        </w:tc>
        <w:tc>
          <w:tcPr>
            <w:tcW w:w="1621"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rPr>
                <w:rFonts w:hint="eastAsia" w:ascii="仿宋_GB2312" w:eastAsia="仿宋_GB2312"/>
                <w:sz w:val="24"/>
                <w:szCs w:val="24"/>
              </w:rPr>
            </w:pPr>
            <w:r>
              <w:rPr>
                <w:rFonts w:hint="eastAsia" w:ascii="仿宋_GB2312" w:hAnsi="宋体" w:eastAsia="仿宋_GB2312" w:cs="宋体"/>
                <w:b/>
                <w:bCs/>
                <w:color w:val="000000"/>
                <w:kern w:val="0"/>
                <w:sz w:val="24"/>
                <w:szCs w:val="24"/>
              </w:rPr>
              <w:t>年度指标值</w:t>
            </w:r>
          </w:p>
        </w:tc>
        <w:tc>
          <w:tcPr>
            <w:tcW w:w="1781"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rPr>
                <w:rFonts w:hint="eastAsia" w:ascii="仿宋_GB2312" w:eastAsia="仿宋_GB2312"/>
                <w:sz w:val="24"/>
                <w:szCs w:val="24"/>
              </w:rPr>
            </w:pPr>
            <w:r>
              <w:rPr>
                <w:rFonts w:hint="eastAsia" w:ascii="仿宋_GB2312" w:hAnsi="宋体" w:eastAsia="仿宋_GB2312" w:cs="宋体"/>
                <w:b/>
                <w:bCs/>
                <w:color w:val="000000"/>
                <w:kern w:val="0"/>
                <w:sz w:val="24"/>
                <w:szCs w:val="24"/>
              </w:rPr>
              <w:t>实际完成值</w:t>
            </w:r>
          </w:p>
        </w:tc>
        <w:tc>
          <w:tcPr>
            <w:tcW w:w="739"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rPr>
                <w:rFonts w:hint="eastAsia"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分值</w:t>
            </w:r>
          </w:p>
        </w:tc>
        <w:tc>
          <w:tcPr>
            <w:tcW w:w="821"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rPr>
                <w:rFonts w:hint="eastAsia" w:ascii="仿宋_GB2312" w:eastAsia="仿宋_GB2312"/>
                <w:sz w:val="24"/>
                <w:szCs w:val="24"/>
              </w:rPr>
            </w:pPr>
            <w:r>
              <w:rPr>
                <w:rFonts w:hint="eastAsia" w:ascii="仿宋_GB2312" w:hAnsi="宋体" w:eastAsia="仿宋_GB2312" w:cs="宋体"/>
                <w:b/>
                <w:bCs/>
                <w:color w:val="000000"/>
                <w:kern w:val="0"/>
                <w:sz w:val="24"/>
                <w:szCs w:val="24"/>
              </w:rPr>
              <w:t>得分</w:t>
            </w:r>
          </w:p>
        </w:tc>
        <w:tc>
          <w:tcPr>
            <w:tcW w:w="992"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rPr>
                <w:rFonts w:hint="eastAsia" w:ascii="仿宋_GB2312" w:eastAsia="仿宋_GB2312"/>
                <w:sz w:val="24"/>
                <w:szCs w:val="24"/>
              </w:rPr>
            </w:pPr>
            <w:r>
              <w:rPr>
                <w:rFonts w:hint="eastAsia" w:ascii="仿宋_GB2312" w:hAnsi="宋体" w:eastAsia="仿宋_GB2312" w:cs="宋体"/>
                <w:b/>
                <w:bCs/>
                <w:color w:val="000000"/>
                <w:kern w:val="0"/>
                <w:sz w:val="24"/>
                <w:szCs w:val="24"/>
              </w:rPr>
              <w:t>得分率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5"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rPr>
                <w:rFonts w:hint="eastAsia" w:ascii="仿宋_GB2312" w:eastAsia="仿宋_GB2312"/>
                <w:b w:val="0"/>
                <w:bCs w:val="0"/>
                <w:color w:val="auto"/>
                <w:sz w:val="24"/>
                <w:szCs w:val="24"/>
              </w:rPr>
            </w:pPr>
            <w:r>
              <w:rPr>
                <w:rFonts w:hint="eastAsia" w:ascii="仿宋_GB2312" w:eastAsia="仿宋_GB2312"/>
                <w:b w:val="0"/>
                <w:bCs w:val="0"/>
                <w:color w:val="auto"/>
                <w:sz w:val="24"/>
                <w:szCs w:val="24"/>
              </w:rPr>
              <w:t>涉台交流工作完成率</w:t>
            </w:r>
          </w:p>
        </w:tc>
        <w:tc>
          <w:tcPr>
            <w:tcW w:w="1621"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rPr>
                <w:rFonts w:hint="eastAsia" w:ascii="仿宋_GB2312" w:eastAsia="仿宋_GB2312"/>
                <w:b w:val="0"/>
                <w:bCs w:val="0"/>
                <w:color w:val="auto"/>
                <w:sz w:val="24"/>
                <w:szCs w:val="24"/>
              </w:rPr>
            </w:pPr>
            <w:r>
              <w:rPr>
                <w:rFonts w:hint="eastAsia" w:ascii="仿宋_GB2312" w:eastAsia="仿宋_GB2312"/>
                <w:b w:val="0"/>
                <w:bCs w:val="0"/>
                <w:color w:val="auto"/>
                <w:sz w:val="24"/>
                <w:szCs w:val="24"/>
              </w:rPr>
              <w:t>100%</w:t>
            </w:r>
          </w:p>
        </w:tc>
        <w:tc>
          <w:tcPr>
            <w:tcW w:w="1781"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rPr>
                <w:rFonts w:hint="eastAsia" w:ascii="仿宋_GB2312" w:eastAsia="仿宋_GB2312"/>
                <w:b w:val="0"/>
                <w:bCs w:val="0"/>
                <w:color w:val="auto"/>
                <w:sz w:val="24"/>
                <w:szCs w:val="24"/>
              </w:rPr>
            </w:pPr>
            <w:r>
              <w:rPr>
                <w:rFonts w:hint="eastAsia" w:ascii="仿宋_GB2312" w:eastAsia="仿宋_GB2312"/>
                <w:b w:val="0"/>
                <w:bCs w:val="0"/>
                <w:color w:val="auto"/>
                <w:sz w:val="24"/>
                <w:szCs w:val="24"/>
              </w:rPr>
              <w:t>100%</w:t>
            </w:r>
          </w:p>
        </w:tc>
        <w:tc>
          <w:tcPr>
            <w:tcW w:w="739"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rPr>
                <w:rFonts w:hint="eastAsia" w:ascii="仿宋_GB2312" w:hAnsi="宋体" w:eastAsia="仿宋_GB2312" w:cs="宋体"/>
                <w:b w:val="0"/>
                <w:bCs w:val="0"/>
                <w:color w:val="auto"/>
                <w:kern w:val="0"/>
                <w:sz w:val="24"/>
                <w:szCs w:val="24"/>
              </w:rPr>
            </w:pPr>
            <w:r>
              <w:rPr>
                <w:rFonts w:hint="eastAsia" w:ascii="仿宋_GB2312" w:eastAsia="仿宋_GB2312"/>
                <w:b w:val="0"/>
                <w:bCs w:val="0"/>
                <w:color w:val="auto"/>
                <w:sz w:val="24"/>
                <w:szCs w:val="24"/>
              </w:rPr>
              <w:t>1.7</w:t>
            </w:r>
          </w:p>
        </w:tc>
        <w:tc>
          <w:tcPr>
            <w:tcW w:w="821"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rPr>
                <w:rFonts w:hint="eastAsia" w:ascii="仿宋_GB2312" w:eastAsia="仿宋_GB2312"/>
                <w:b w:val="0"/>
                <w:bCs w:val="0"/>
                <w:color w:val="auto"/>
                <w:sz w:val="24"/>
                <w:szCs w:val="24"/>
              </w:rPr>
            </w:pPr>
            <w:r>
              <w:rPr>
                <w:rFonts w:hint="eastAsia" w:ascii="仿宋_GB2312" w:eastAsia="仿宋_GB2312"/>
                <w:b w:val="0"/>
                <w:bCs w:val="0"/>
                <w:color w:val="auto"/>
                <w:sz w:val="24"/>
                <w:szCs w:val="24"/>
              </w:rPr>
              <w:t>1.7</w:t>
            </w:r>
          </w:p>
        </w:tc>
        <w:tc>
          <w:tcPr>
            <w:tcW w:w="992"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rPr>
                <w:rFonts w:hint="eastAsia" w:ascii="仿宋_GB2312" w:eastAsia="仿宋_GB2312"/>
                <w:b w:val="0"/>
                <w:bCs w:val="0"/>
                <w:color w:val="auto"/>
                <w:sz w:val="24"/>
                <w:szCs w:val="24"/>
              </w:rPr>
            </w:pPr>
            <w:r>
              <w:rPr>
                <w:rFonts w:hint="eastAsia" w:ascii="仿宋_GB2312" w:eastAsia="仿宋_GB2312"/>
                <w:b w:val="0"/>
                <w:bCs w:val="0"/>
                <w:color w:val="auto"/>
                <w:sz w:val="24"/>
                <w:szCs w:val="24"/>
              </w:rPr>
              <w:t>1</w:t>
            </w:r>
            <w:r>
              <w:rPr>
                <w:rFonts w:ascii="仿宋_GB2312" w:eastAsia="仿宋_GB2312"/>
                <w:b w:val="0"/>
                <w:bCs w:val="0"/>
                <w:color w:val="auto"/>
                <w:sz w:val="24"/>
                <w:szCs w:val="24"/>
              </w:rPr>
              <w:t>00</w:t>
            </w:r>
            <w:r>
              <w:rPr>
                <w:rFonts w:hint="eastAsia" w:ascii="仿宋_GB2312" w:eastAsia="仿宋_GB2312"/>
                <w:b w:val="0"/>
                <w:bCs w:val="0"/>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5"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rPr>
                <w:rFonts w:hint="eastAsia" w:ascii="仿宋_GB2312" w:hAnsi="宋体" w:eastAsia="仿宋_GB2312" w:cs="宋体"/>
                <w:b w:val="0"/>
                <w:bCs w:val="0"/>
                <w:color w:val="auto"/>
                <w:kern w:val="0"/>
                <w:sz w:val="24"/>
                <w:szCs w:val="24"/>
              </w:rPr>
            </w:pPr>
            <w:r>
              <w:rPr>
                <w:rFonts w:hint="eastAsia" w:ascii="仿宋_GB2312" w:eastAsia="仿宋_GB2312"/>
                <w:b w:val="0"/>
                <w:bCs w:val="0"/>
                <w:color w:val="auto"/>
                <w:sz w:val="24"/>
                <w:szCs w:val="24"/>
              </w:rPr>
              <w:t>2021年新发展党员人数</w:t>
            </w:r>
          </w:p>
        </w:tc>
        <w:tc>
          <w:tcPr>
            <w:tcW w:w="1621"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rPr>
                <w:rFonts w:hint="eastAsia" w:ascii="仿宋_GB2312" w:hAnsi="宋体" w:eastAsia="仿宋_GB2312" w:cs="宋体"/>
                <w:b w:val="0"/>
                <w:bCs w:val="0"/>
                <w:color w:val="auto"/>
                <w:kern w:val="0"/>
                <w:sz w:val="24"/>
                <w:szCs w:val="24"/>
              </w:rPr>
            </w:pPr>
            <w:r>
              <w:rPr>
                <w:rFonts w:hint="eastAsia" w:ascii="仿宋_GB2312" w:eastAsia="仿宋_GB2312"/>
                <w:b w:val="0"/>
                <w:bCs w:val="0"/>
                <w:color w:val="auto"/>
                <w:sz w:val="24"/>
                <w:szCs w:val="24"/>
              </w:rPr>
              <w:t>≥100</w:t>
            </w:r>
          </w:p>
        </w:tc>
        <w:tc>
          <w:tcPr>
            <w:tcW w:w="1781"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rPr>
                <w:rFonts w:hint="eastAsia" w:ascii="仿宋_GB2312" w:hAnsi="宋体" w:eastAsia="仿宋_GB2312" w:cs="宋体"/>
                <w:b w:val="0"/>
                <w:bCs w:val="0"/>
                <w:color w:val="auto"/>
                <w:kern w:val="0"/>
                <w:sz w:val="24"/>
                <w:szCs w:val="24"/>
              </w:rPr>
            </w:pPr>
            <w:r>
              <w:rPr>
                <w:rFonts w:hint="eastAsia" w:ascii="仿宋_GB2312" w:eastAsia="仿宋_GB2312"/>
                <w:b w:val="0"/>
                <w:bCs w:val="0"/>
                <w:color w:val="auto"/>
                <w:sz w:val="24"/>
                <w:szCs w:val="24"/>
              </w:rPr>
              <w:t>120</w:t>
            </w:r>
          </w:p>
        </w:tc>
        <w:tc>
          <w:tcPr>
            <w:tcW w:w="739"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rPr>
                <w:rFonts w:hint="eastAsia" w:ascii="仿宋_GB2312" w:hAnsi="宋体" w:eastAsia="仿宋_GB2312" w:cs="宋体"/>
                <w:b w:val="0"/>
                <w:bCs w:val="0"/>
                <w:color w:val="auto"/>
                <w:kern w:val="0"/>
                <w:sz w:val="24"/>
                <w:szCs w:val="24"/>
              </w:rPr>
            </w:pPr>
            <w:r>
              <w:rPr>
                <w:rFonts w:hint="eastAsia" w:ascii="仿宋_GB2312" w:eastAsia="仿宋_GB2312"/>
                <w:b w:val="0"/>
                <w:bCs w:val="0"/>
                <w:color w:val="auto"/>
                <w:sz w:val="24"/>
                <w:szCs w:val="24"/>
              </w:rPr>
              <w:t>1.7</w:t>
            </w:r>
          </w:p>
        </w:tc>
        <w:tc>
          <w:tcPr>
            <w:tcW w:w="821"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rPr>
                <w:rFonts w:hint="eastAsia" w:ascii="仿宋_GB2312" w:eastAsia="仿宋_GB2312"/>
                <w:b w:val="0"/>
                <w:bCs w:val="0"/>
                <w:color w:val="auto"/>
                <w:sz w:val="24"/>
                <w:szCs w:val="24"/>
              </w:rPr>
            </w:pPr>
            <w:r>
              <w:rPr>
                <w:rFonts w:hint="eastAsia" w:ascii="仿宋_GB2312" w:eastAsia="仿宋_GB2312"/>
                <w:b w:val="0"/>
                <w:bCs w:val="0"/>
                <w:color w:val="auto"/>
                <w:sz w:val="24"/>
                <w:szCs w:val="24"/>
              </w:rPr>
              <w:t>1.7</w:t>
            </w:r>
          </w:p>
        </w:tc>
        <w:tc>
          <w:tcPr>
            <w:tcW w:w="992"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rPr>
                <w:rFonts w:hint="eastAsia" w:ascii="仿宋_GB2312" w:hAnsi="宋体" w:eastAsia="仿宋_GB2312" w:cs="宋体"/>
                <w:b w:val="0"/>
                <w:bCs w:val="0"/>
                <w:color w:val="auto"/>
                <w:kern w:val="0"/>
                <w:sz w:val="24"/>
                <w:szCs w:val="24"/>
              </w:rPr>
            </w:pPr>
            <w:r>
              <w:rPr>
                <w:rFonts w:hint="eastAsia" w:ascii="仿宋_GB2312" w:hAnsi="宋体" w:eastAsia="仿宋_GB2312" w:cs="宋体"/>
                <w:b w:val="0"/>
                <w:bCs w:val="0"/>
                <w:color w:val="auto"/>
                <w:kern w:val="0"/>
                <w:sz w:val="24"/>
                <w:szCs w:val="24"/>
              </w:rPr>
              <w:t>1</w:t>
            </w:r>
            <w:r>
              <w:rPr>
                <w:rFonts w:ascii="仿宋_GB2312" w:hAnsi="宋体" w:eastAsia="仿宋_GB2312" w:cs="宋体"/>
                <w:b w:val="0"/>
                <w:bCs w:val="0"/>
                <w:color w:val="auto"/>
                <w:kern w:val="0"/>
                <w:sz w:val="24"/>
                <w:szCs w:val="24"/>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5"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rPr>
                <w:rFonts w:hint="eastAsia" w:ascii="仿宋_GB2312" w:hAnsi="宋体" w:eastAsia="仿宋_GB2312" w:cs="宋体"/>
                <w:b w:val="0"/>
                <w:bCs w:val="0"/>
                <w:color w:val="auto"/>
                <w:kern w:val="0"/>
                <w:sz w:val="24"/>
                <w:szCs w:val="24"/>
              </w:rPr>
            </w:pPr>
            <w:r>
              <w:rPr>
                <w:rFonts w:hint="eastAsia" w:ascii="仿宋_GB2312" w:eastAsia="仿宋_GB2312"/>
                <w:b w:val="0"/>
                <w:bCs w:val="0"/>
                <w:color w:val="auto"/>
                <w:sz w:val="24"/>
                <w:szCs w:val="24"/>
              </w:rPr>
              <w:t>开展社会服务活动次数</w:t>
            </w:r>
          </w:p>
        </w:tc>
        <w:tc>
          <w:tcPr>
            <w:tcW w:w="1621"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rPr>
                <w:rFonts w:hint="eastAsia" w:ascii="仿宋_GB2312" w:hAnsi="宋体" w:eastAsia="仿宋_GB2312" w:cs="宋体"/>
                <w:b w:val="0"/>
                <w:bCs w:val="0"/>
                <w:color w:val="auto"/>
                <w:kern w:val="0"/>
                <w:sz w:val="24"/>
                <w:szCs w:val="24"/>
              </w:rPr>
            </w:pPr>
            <w:r>
              <w:rPr>
                <w:rFonts w:hint="eastAsia" w:ascii="仿宋_GB2312" w:eastAsia="仿宋_GB2312"/>
                <w:b w:val="0"/>
                <w:bCs w:val="0"/>
                <w:color w:val="auto"/>
                <w:sz w:val="24"/>
                <w:szCs w:val="24"/>
              </w:rPr>
              <w:t>≥5</w:t>
            </w:r>
          </w:p>
        </w:tc>
        <w:tc>
          <w:tcPr>
            <w:tcW w:w="1781"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rPr>
                <w:rFonts w:hint="eastAsia" w:ascii="仿宋_GB2312" w:hAnsi="宋体" w:eastAsia="仿宋_GB2312" w:cs="宋体"/>
                <w:b w:val="0"/>
                <w:bCs w:val="0"/>
                <w:color w:val="auto"/>
                <w:kern w:val="0"/>
                <w:sz w:val="24"/>
                <w:szCs w:val="24"/>
              </w:rPr>
            </w:pPr>
            <w:r>
              <w:rPr>
                <w:rFonts w:hint="eastAsia" w:ascii="仿宋_GB2312" w:eastAsia="仿宋_GB2312"/>
                <w:b w:val="0"/>
                <w:bCs w:val="0"/>
                <w:color w:val="auto"/>
                <w:sz w:val="24"/>
                <w:szCs w:val="24"/>
              </w:rPr>
              <w:t>5</w:t>
            </w:r>
          </w:p>
        </w:tc>
        <w:tc>
          <w:tcPr>
            <w:tcW w:w="739"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rPr>
                <w:rFonts w:hint="eastAsia" w:ascii="仿宋_GB2312" w:hAnsi="宋体" w:eastAsia="仿宋_GB2312" w:cs="宋体"/>
                <w:b w:val="0"/>
                <w:bCs w:val="0"/>
                <w:color w:val="auto"/>
                <w:kern w:val="0"/>
                <w:sz w:val="24"/>
                <w:szCs w:val="24"/>
              </w:rPr>
            </w:pPr>
            <w:r>
              <w:rPr>
                <w:rFonts w:hint="eastAsia" w:ascii="仿宋_GB2312" w:eastAsia="仿宋_GB2312"/>
                <w:b w:val="0"/>
                <w:bCs w:val="0"/>
                <w:color w:val="auto"/>
                <w:sz w:val="24"/>
                <w:szCs w:val="24"/>
              </w:rPr>
              <w:t>1.7</w:t>
            </w:r>
          </w:p>
        </w:tc>
        <w:tc>
          <w:tcPr>
            <w:tcW w:w="821"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rPr>
                <w:rFonts w:hint="eastAsia" w:ascii="仿宋_GB2312" w:eastAsia="仿宋_GB2312"/>
                <w:b w:val="0"/>
                <w:bCs w:val="0"/>
                <w:color w:val="auto"/>
                <w:sz w:val="24"/>
                <w:szCs w:val="24"/>
              </w:rPr>
            </w:pPr>
            <w:r>
              <w:rPr>
                <w:rFonts w:hint="eastAsia" w:ascii="仿宋_GB2312" w:eastAsia="仿宋_GB2312"/>
                <w:b w:val="0"/>
                <w:bCs w:val="0"/>
                <w:color w:val="auto"/>
                <w:sz w:val="24"/>
                <w:szCs w:val="24"/>
              </w:rPr>
              <w:t>1.7</w:t>
            </w:r>
          </w:p>
        </w:tc>
        <w:tc>
          <w:tcPr>
            <w:tcW w:w="992"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rPr>
                <w:rFonts w:hint="eastAsia" w:ascii="仿宋_GB2312" w:hAnsi="宋体" w:eastAsia="仿宋_GB2312" w:cs="宋体"/>
                <w:b w:val="0"/>
                <w:bCs w:val="0"/>
                <w:color w:val="auto"/>
                <w:kern w:val="0"/>
                <w:sz w:val="24"/>
                <w:szCs w:val="24"/>
              </w:rPr>
            </w:pPr>
            <w:r>
              <w:rPr>
                <w:rFonts w:hint="eastAsia" w:ascii="仿宋_GB2312" w:hAnsi="宋体" w:eastAsia="仿宋_GB2312" w:cs="宋体"/>
                <w:b w:val="0"/>
                <w:bCs w:val="0"/>
                <w:color w:val="auto"/>
                <w:kern w:val="0"/>
                <w:sz w:val="24"/>
                <w:szCs w:val="24"/>
              </w:rPr>
              <w:t>1</w:t>
            </w:r>
            <w:r>
              <w:rPr>
                <w:rFonts w:ascii="仿宋_GB2312" w:hAnsi="宋体" w:eastAsia="仿宋_GB2312" w:cs="宋体"/>
                <w:b w:val="0"/>
                <w:bCs w:val="0"/>
                <w:color w:val="auto"/>
                <w:kern w:val="0"/>
                <w:sz w:val="24"/>
                <w:szCs w:val="24"/>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5"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rPr>
                <w:rFonts w:hint="eastAsia" w:ascii="仿宋_GB2312" w:eastAsia="仿宋_GB2312"/>
                <w:sz w:val="24"/>
                <w:szCs w:val="24"/>
              </w:rPr>
            </w:pPr>
            <w:r>
              <w:rPr>
                <w:rFonts w:hint="eastAsia" w:ascii="仿宋_GB2312" w:hAnsi="宋体" w:eastAsia="仿宋_GB2312" w:cs="宋体"/>
                <w:color w:val="000000"/>
                <w:kern w:val="0"/>
                <w:sz w:val="24"/>
                <w:szCs w:val="24"/>
              </w:rPr>
              <w:t>计划组织培训次数</w:t>
            </w:r>
          </w:p>
        </w:tc>
        <w:tc>
          <w:tcPr>
            <w:tcW w:w="1621"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rPr>
                <w:rFonts w:hint="eastAsia" w:ascii="仿宋_GB2312" w:eastAsia="仿宋_GB2312"/>
                <w:sz w:val="24"/>
                <w:szCs w:val="24"/>
              </w:rPr>
            </w:pPr>
            <w:r>
              <w:rPr>
                <w:rFonts w:hint="eastAsia" w:ascii="仿宋_GB2312" w:hAnsi="宋体" w:eastAsia="仿宋_GB2312" w:cs="宋体"/>
                <w:color w:val="000000"/>
                <w:kern w:val="0"/>
                <w:sz w:val="24"/>
                <w:szCs w:val="24"/>
              </w:rPr>
              <w:t>&gt;=2次</w:t>
            </w:r>
          </w:p>
        </w:tc>
        <w:tc>
          <w:tcPr>
            <w:tcW w:w="1781"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rPr>
                <w:rFonts w:hint="eastAsia" w:ascii="仿宋_GB2312" w:eastAsia="仿宋_GB2312"/>
                <w:sz w:val="24"/>
                <w:szCs w:val="24"/>
              </w:rPr>
            </w:pPr>
            <w:r>
              <w:rPr>
                <w:rFonts w:hint="eastAsia" w:ascii="仿宋_GB2312" w:eastAsia="仿宋_GB2312"/>
                <w:sz w:val="24"/>
                <w:szCs w:val="24"/>
              </w:rPr>
              <w:t>1次</w:t>
            </w:r>
          </w:p>
        </w:tc>
        <w:tc>
          <w:tcPr>
            <w:tcW w:w="739"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5.4</w:t>
            </w:r>
          </w:p>
        </w:tc>
        <w:tc>
          <w:tcPr>
            <w:tcW w:w="821"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rPr>
                <w:rFonts w:hint="eastAsia" w:ascii="仿宋_GB2312" w:eastAsia="仿宋_GB2312"/>
                <w:sz w:val="24"/>
                <w:szCs w:val="24"/>
              </w:rPr>
            </w:pPr>
            <w:r>
              <w:rPr>
                <w:rFonts w:hint="eastAsia" w:ascii="仿宋_GB2312" w:eastAsia="仿宋_GB2312"/>
                <w:sz w:val="24"/>
                <w:szCs w:val="24"/>
              </w:rPr>
              <w:t>2.7</w:t>
            </w:r>
          </w:p>
        </w:tc>
        <w:tc>
          <w:tcPr>
            <w:tcW w:w="992"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rPr>
                <w:rFonts w:hint="eastAsia" w:ascii="仿宋_GB2312" w:eastAsia="仿宋_GB2312"/>
                <w:sz w:val="24"/>
                <w:szCs w:val="24"/>
              </w:rPr>
            </w:pPr>
            <w:r>
              <w:rPr>
                <w:rFonts w:hint="eastAsia" w:ascii="仿宋_GB2312" w:hAnsi="宋体" w:eastAsia="仿宋_GB2312" w:cs="宋体"/>
                <w:color w:val="000000"/>
                <w:kern w:val="0"/>
                <w:sz w:val="24"/>
                <w:szCs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5"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计划召开会议次数</w:t>
            </w:r>
          </w:p>
        </w:tc>
        <w:tc>
          <w:tcPr>
            <w:tcW w:w="1621"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&gt;=3次</w:t>
            </w:r>
          </w:p>
        </w:tc>
        <w:tc>
          <w:tcPr>
            <w:tcW w:w="1781"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3次</w:t>
            </w:r>
          </w:p>
        </w:tc>
        <w:tc>
          <w:tcPr>
            <w:tcW w:w="739"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5.4</w:t>
            </w:r>
          </w:p>
        </w:tc>
        <w:tc>
          <w:tcPr>
            <w:tcW w:w="821"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5.4</w:t>
            </w:r>
          </w:p>
        </w:tc>
        <w:tc>
          <w:tcPr>
            <w:tcW w:w="992"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5"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计划开展调研次数</w:t>
            </w:r>
          </w:p>
        </w:tc>
        <w:tc>
          <w:tcPr>
            <w:tcW w:w="1621"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&gt;=5次</w:t>
            </w:r>
          </w:p>
        </w:tc>
        <w:tc>
          <w:tcPr>
            <w:tcW w:w="1781"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15次</w:t>
            </w:r>
          </w:p>
        </w:tc>
        <w:tc>
          <w:tcPr>
            <w:tcW w:w="739"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5.4</w:t>
            </w:r>
          </w:p>
        </w:tc>
        <w:tc>
          <w:tcPr>
            <w:tcW w:w="821"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2.92</w:t>
            </w:r>
          </w:p>
        </w:tc>
        <w:tc>
          <w:tcPr>
            <w:tcW w:w="992"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54.07%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5"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计划开展民主监督及帮扶次数</w:t>
            </w:r>
          </w:p>
        </w:tc>
        <w:tc>
          <w:tcPr>
            <w:tcW w:w="1621"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&gt;=4次</w:t>
            </w:r>
          </w:p>
        </w:tc>
        <w:tc>
          <w:tcPr>
            <w:tcW w:w="1781"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6次</w:t>
            </w:r>
          </w:p>
        </w:tc>
        <w:tc>
          <w:tcPr>
            <w:tcW w:w="739"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5.4</w:t>
            </w:r>
          </w:p>
        </w:tc>
        <w:tc>
          <w:tcPr>
            <w:tcW w:w="821"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5.11</w:t>
            </w:r>
          </w:p>
        </w:tc>
        <w:tc>
          <w:tcPr>
            <w:tcW w:w="992"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94.63%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07" w:type="dxa"/>
            <w:gridSpan w:val="3"/>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rPr>
                <w:rFonts w:hint="eastAsia" w:ascii="仿宋_GB2312" w:eastAsia="仿宋_GB2312"/>
                <w:b/>
                <w:bCs/>
                <w:sz w:val="24"/>
                <w:szCs w:val="24"/>
              </w:rPr>
            </w:pPr>
            <w:r>
              <w:rPr>
                <w:rFonts w:hint="eastAsia" w:ascii="仿宋_GB2312" w:hAnsi="宋体" w:eastAsia="仿宋_GB2312" w:cs="宋体"/>
                <w:b/>
                <w:bCs/>
                <w:color w:val="000000"/>
                <w:kern w:val="0"/>
                <w:sz w:val="24"/>
                <w:szCs w:val="24"/>
              </w:rPr>
              <w:t>合计</w:t>
            </w:r>
          </w:p>
        </w:tc>
        <w:tc>
          <w:tcPr>
            <w:tcW w:w="739"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rPr>
                <w:rFonts w:hint="eastAsia"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27</w:t>
            </w:r>
          </w:p>
        </w:tc>
        <w:tc>
          <w:tcPr>
            <w:tcW w:w="821"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rPr>
                <w:rFonts w:hint="eastAsia" w:ascii="仿宋_GB2312" w:eastAsia="仿宋_GB2312"/>
                <w:b/>
                <w:bCs/>
                <w:sz w:val="24"/>
                <w:szCs w:val="24"/>
              </w:rPr>
            </w:pPr>
            <w:r>
              <w:rPr>
                <w:rFonts w:hint="eastAsia" w:ascii="仿宋_GB2312" w:eastAsia="仿宋_GB2312"/>
                <w:b/>
                <w:bCs/>
                <w:sz w:val="24"/>
                <w:szCs w:val="24"/>
              </w:rPr>
              <w:t>21.53</w:t>
            </w:r>
          </w:p>
        </w:tc>
        <w:tc>
          <w:tcPr>
            <w:tcW w:w="992"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rPr>
                <w:rFonts w:hint="eastAsia" w:ascii="仿宋_GB2312" w:eastAsia="仿宋_GB2312"/>
                <w:b/>
                <w:bCs/>
                <w:sz w:val="24"/>
                <w:szCs w:val="24"/>
              </w:rPr>
            </w:pPr>
            <w:r>
              <w:rPr>
                <w:rFonts w:hint="eastAsia" w:ascii="仿宋_GB2312" w:hAnsi="宋体" w:eastAsia="仿宋_GB2312" w:cs="宋体"/>
                <w:b/>
                <w:bCs/>
                <w:color w:val="000000"/>
                <w:kern w:val="0"/>
                <w:sz w:val="24"/>
                <w:szCs w:val="24"/>
              </w:rPr>
              <w:t>79.74%</w:t>
            </w:r>
          </w:p>
        </w:tc>
      </w:tr>
    </w:tbl>
    <w:p>
      <w:pPr>
        <w:ind w:firstLine="562"/>
        <w:rPr>
          <w:color w:val="auto"/>
        </w:rPr>
      </w:pPr>
      <w:bookmarkStart w:id="31" w:name="_Hlk62570947"/>
      <w:r>
        <w:rPr>
          <w:rFonts w:hint="eastAsia"/>
          <w:b/>
          <w:bCs/>
          <w:color w:val="auto"/>
        </w:rPr>
        <w:t>涉台交流工作完成率：</w:t>
      </w:r>
      <w:r>
        <w:rPr>
          <w:rFonts w:hint="eastAsia"/>
          <w:color w:val="auto"/>
        </w:rPr>
        <w:t>做好涉台参政议政工作，形成《关于支持台商在甘肃农业投资的建议》和《关于设立甘肃天水为海峡两岸交流基地的建议》。举办“庆中秋、迎国庆台胞台属茶话会”“学习黎秀芳 永远跟党走”座谈会；参加市台办和市台联举办的台胞台属美术作品收藏展暨对台交流基地挂牌仪式；为在兰台胞开展法律咨询、台胞证如何获取甘肃健康码等服务工作。编印《台情学习交流资料》2期，编报工作信息6篇。涉台交流工作完成率1</w:t>
      </w:r>
      <w:r>
        <w:rPr>
          <w:color w:val="auto"/>
        </w:rPr>
        <w:t>00</w:t>
      </w:r>
      <w:r>
        <w:rPr>
          <w:rFonts w:hint="eastAsia"/>
          <w:color w:val="auto"/>
        </w:rPr>
        <w:t>%。</w:t>
      </w:r>
    </w:p>
    <w:p>
      <w:pPr>
        <w:ind w:firstLine="560"/>
        <w:rPr>
          <w:color w:val="auto"/>
        </w:rPr>
      </w:pPr>
      <w:r>
        <w:rPr>
          <w:rFonts w:hint="eastAsia"/>
          <w:color w:val="auto"/>
        </w:rPr>
        <w:t>指标权重</w:t>
      </w:r>
      <w:r>
        <w:rPr>
          <w:color w:val="auto"/>
        </w:rPr>
        <w:t>1.7</w:t>
      </w:r>
      <w:r>
        <w:rPr>
          <w:rFonts w:hint="eastAsia"/>
          <w:color w:val="auto"/>
        </w:rPr>
        <w:t>分，自评得分</w:t>
      </w:r>
      <w:r>
        <w:rPr>
          <w:color w:val="auto"/>
        </w:rPr>
        <w:t>1.7</w:t>
      </w:r>
      <w:r>
        <w:rPr>
          <w:rFonts w:hint="eastAsia"/>
          <w:color w:val="auto"/>
        </w:rPr>
        <w:t>分，得分率1</w:t>
      </w:r>
      <w:r>
        <w:rPr>
          <w:color w:val="auto"/>
        </w:rPr>
        <w:t>00</w:t>
      </w:r>
      <w:r>
        <w:rPr>
          <w:rFonts w:hint="eastAsia"/>
          <w:color w:val="auto"/>
        </w:rPr>
        <w:t>%。</w:t>
      </w:r>
    </w:p>
    <w:p>
      <w:pPr>
        <w:ind w:firstLine="562"/>
        <w:rPr>
          <w:color w:val="auto"/>
        </w:rPr>
      </w:pPr>
      <w:r>
        <w:rPr>
          <w:b/>
          <w:bCs/>
          <w:color w:val="auto"/>
        </w:rPr>
        <w:t>2021年新发党员人数</w:t>
      </w:r>
      <w:r>
        <w:rPr>
          <w:rFonts w:hint="eastAsia"/>
          <w:b/>
          <w:bCs/>
          <w:color w:val="auto"/>
        </w:rPr>
        <w:t>：</w:t>
      </w:r>
      <w:r>
        <w:rPr>
          <w:rFonts w:hint="eastAsia"/>
          <w:color w:val="auto"/>
        </w:rPr>
        <w:t>通过各项工作的开展，发现和培养人才，向各级政府和社会各方面推荐人才，为发挥他们的才智专长创造条件：2021年新发展党员120人，其中特色党员100人，占比达到83%；大学本科以上学历占比超过98%，硕士学位12人，博士学位5人，高级职称20人，长江学者1人，地厅级干部2人；平均年龄39岁。</w:t>
      </w:r>
    </w:p>
    <w:p>
      <w:pPr>
        <w:ind w:firstLine="560"/>
        <w:rPr>
          <w:color w:val="auto"/>
        </w:rPr>
      </w:pPr>
      <w:r>
        <w:rPr>
          <w:rFonts w:hint="eastAsia"/>
          <w:color w:val="auto"/>
        </w:rPr>
        <w:t>指标权重</w:t>
      </w:r>
      <w:r>
        <w:rPr>
          <w:color w:val="auto"/>
        </w:rPr>
        <w:t>1.7</w:t>
      </w:r>
      <w:r>
        <w:rPr>
          <w:rFonts w:hint="eastAsia"/>
          <w:color w:val="auto"/>
        </w:rPr>
        <w:t>分，自评得分</w:t>
      </w:r>
      <w:r>
        <w:rPr>
          <w:color w:val="auto"/>
        </w:rPr>
        <w:t>1.7</w:t>
      </w:r>
      <w:r>
        <w:rPr>
          <w:rFonts w:hint="eastAsia"/>
          <w:color w:val="auto"/>
        </w:rPr>
        <w:t>分，得分率1</w:t>
      </w:r>
      <w:r>
        <w:rPr>
          <w:color w:val="auto"/>
        </w:rPr>
        <w:t>00</w:t>
      </w:r>
      <w:r>
        <w:rPr>
          <w:rFonts w:hint="eastAsia"/>
          <w:color w:val="auto"/>
        </w:rPr>
        <w:t>%。</w:t>
      </w:r>
    </w:p>
    <w:p>
      <w:pPr>
        <w:ind w:firstLine="562"/>
        <w:rPr>
          <w:color w:val="auto"/>
        </w:rPr>
      </w:pPr>
      <w:r>
        <w:rPr>
          <w:rFonts w:hint="eastAsia"/>
          <w:b/>
          <w:bCs/>
          <w:color w:val="auto"/>
        </w:rPr>
        <w:t>开展社会服务活动次数：</w:t>
      </w:r>
      <w:r>
        <w:rPr>
          <w:rFonts w:hint="eastAsia"/>
          <w:color w:val="auto"/>
        </w:rPr>
        <w:t>开展“送文化、送医药、送物资”下乡等活动；携手甘肃国林公益基金会开展“关爱童心”图书捐赠活动；为小关乡4所学校建立图书室4个；开展参与抗疫工作；联合甘肃国林公益基金会开展图书捐赠活动。</w:t>
      </w:r>
    </w:p>
    <w:p>
      <w:pPr>
        <w:ind w:firstLine="560"/>
        <w:rPr>
          <w:color w:val="auto"/>
        </w:rPr>
      </w:pPr>
      <w:r>
        <w:rPr>
          <w:rFonts w:hint="eastAsia"/>
          <w:color w:val="auto"/>
        </w:rPr>
        <w:t>指标权重</w:t>
      </w:r>
      <w:r>
        <w:rPr>
          <w:color w:val="auto"/>
        </w:rPr>
        <w:t>1.7</w:t>
      </w:r>
      <w:r>
        <w:rPr>
          <w:rFonts w:hint="eastAsia"/>
          <w:color w:val="auto"/>
        </w:rPr>
        <w:t>分，自评得分</w:t>
      </w:r>
      <w:r>
        <w:rPr>
          <w:color w:val="auto"/>
        </w:rPr>
        <w:t>1.7</w:t>
      </w:r>
      <w:r>
        <w:rPr>
          <w:rFonts w:hint="eastAsia"/>
          <w:color w:val="auto"/>
        </w:rPr>
        <w:t>分，得分率1</w:t>
      </w:r>
      <w:r>
        <w:rPr>
          <w:color w:val="auto"/>
        </w:rPr>
        <w:t>00</w:t>
      </w:r>
      <w:r>
        <w:rPr>
          <w:rFonts w:hint="eastAsia"/>
          <w:color w:val="auto"/>
        </w:rPr>
        <w:t>%。</w:t>
      </w:r>
    </w:p>
    <w:bookmarkEnd w:id="31"/>
    <w:p>
      <w:pPr>
        <w:ind w:firstLine="562"/>
      </w:pPr>
      <w:r>
        <w:rPr>
          <w:rFonts w:hint="eastAsia"/>
          <w:b/>
          <w:bCs/>
        </w:rPr>
        <w:t>计划组织培训情况：</w:t>
      </w:r>
      <w:r>
        <w:rPr>
          <w:rFonts w:hint="eastAsia"/>
        </w:rPr>
        <w:t>建立健全民革党员教育培训机制，通过各种政治学习和培训，加强统一战线和多党合作理论、方针、政策和优良传统的教育，尤其是加强对我国政治制度和政党制度的认同度教育，进一步增强在中国共产党领导下坚定走中国特色社会主义道路的信念；加强对参政议政能力的培养，帮助党员树立高度的社会责任感；不断加强民革全省各级机关干部的业务培训，提升工作水平，增强服务民革组织的能力。今年，因疫情影响，我单位本年度举办培训班1期，计划在不受疫情影响的前提下，相关业务培训工作严格按照年度工作计划及年初预算工作安排开展。指标权重5.4分，自评得分2.7分，得分率50%。</w:t>
      </w:r>
    </w:p>
    <w:p>
      <w:pPr>
        <w:ind w:firstLine="562"/>
        <w:rPr>
          <w:b/>
          <w:bCs/>
        </w:rPr>
      </w:pPr>
      <w:r>
        <w:rPr>
          <w:rFonts w:hint="eastAsia"/>
          <w:b/>
          <w:bCs/>
        </w:rPr>
        <w:t>计划召开会议情况：</w:t>
      </w:r>
      <w:r>
        <w:rPr>
          <w:rFonts w:hint="eastAsia"/>
        </w:rPr>
        <w:t>我单位按要求举办民革甘肃省十二届四次全委（扩大）会议、全省“组织建设年”工作总结大会暨“作风建设年”工作推进会、全省参政议政工作会议暨各专门委员会工作会议等。我单位组织参加民革中央庆祝中国共产党成立100周年的系列活动；跟进学习中共中央、民革中央、中共甘肃省委决策部署，系统学习“十四五”规划纲要、统一战线工作条例，常态化组织开展省委会理论学习中心组学习会议6次、省委会机关政治理论学习40次；领导班子成员讲党课、做辅导报告20余次。指标权重5.4分，自评得分5.4分，得分率100%。</w:t>
      </w:r>
    </w:p>
    <w:p>
      <w:pPr>
        <w:ind w:firstLine="562"/>
      </w:pPr>
      <w:r>
        <w:rPr>
          <w:rFonts w:hint="eastAsia"/>
          <w:b/>
          <w:bCs/>
        </w:rPr>
        <w:t>计划开展调研情况：</w:t>
      </w:r>
      <w:r>
        <w:rPr>
          <w:rFonts w:hint="eastAsia"/>
        </w:rPr>
        <w:t>全年深入省内各地开展专题调研7次，形成调研成果8篇。围绕年度政党协商议题，结合民革参政议政的优势领域，寻找调研切入口，围绕兰州新区发展、做大做特做优甘肃产业、农业与旅游业融合发展、推进向西开放等课题开展专项调研6次。就在西部陆海新通道实施铁路运输“量价捆绑”政策研究、祁连山国家公园甘肃省片区体制试点工作开展调研2次。因实际完成值大于目标值的1</w:t>
      </w:r>
      <w:r>
        <w:t>30</w:t>
      </w:r>
      <w:r>
        <w:rPr>
          <w:rFonts w:hint="eastAsia"/>
        </w:rPr>
        <w:t>%适当扣分，指标权重5.4分，自评得分2.92分，得分率54.07%。</w:t>
      </w:r>
    </w:p>
    <w:p>
      <w:pPr>
        <w:ind w:firstLine="562"/>
      </w:pPr>
      <w:r>
        <w:rPr>
          <w:rFonts w:hint="eastAsia"/>
          <w:b/>
          <w:bCs/>
        </w:rPr>
        <w:t>计划开展民主监督及帮扶次数：</w:t>
      </w:r>
      <w:r>
        <w:rPr>
          <w:rFonts w:hint="eastAsia"/>
        </w:rPr>
        <w:t>参加了中国共产党领导的政治协商，进行参政议政、民主监督，反映社情民意的各项工作，献计出力：省委会参加中共甘肃省委召开的专题协商4次、调研协商2次。省委会主要领导带队分别赴省农业农村厅和兰州市开展监督性调研4次并召开座谈会，深入到刘家峡水电站、榆中黄河干流沿线及红古区境内湟水河沿线开展了为期4天的明察暗访，形成专项民主监督报告和专题协商座谈会发言材料，共提出意见建议18条。全年开展对口帮扶及支持消费扶贫工作2项：积石山县小关乡唐藏村乡村振兴对口帮扶工作，全年引进项目及各类帮扶资金127.3万元；动员广大党员和机关干部开展消费扶贫活动，累计购买贫困地区农产品6.3万余元。该项已达到目标值，指标权重5.4分，自评得分</w:t>
      </w:r>
      <w:r>
        <w:t>5.11</w:t>
      </w:r>
      <w:r>
        <w:rPr>
          <w:rFonts w:hint="eastAsia"/>
        </w:rPr>
        <w:t>分，得分率</w:t>
      </w:r>
      <w:r>
        <w:t>94.63</w:t>
      </w:r>
      <w:r>
        <w:rPr>
          <w:rFonts w:hint="eastAsia"/>
        </w:rPr>
        <w:t>%。</w:t>
      </w:r>
    </w:p>
    <w:p>
      <w:pPr>
        <w:pStyle w:val="4"/>
        <w:ind w:firstLine="562"/>
      </w:pPr>
      <w:r>
        <w:rPr>
          <w:rFonts w:hint="eastAsia"/>
        </w:rPr>
        <w:t>（2）部门效果目标</w:t>
      </w:r>
    </w:p>
    <w:p>
      <w:pPr>
        <w:ind w:firstLine="560"/>
        <w:rPr>
          <w:rFonts w:hAnsi="宋体"/>
          <w:szCs w:val="28"/>
        </w:rPr>
      </w:pPr>
      <w:bookmarkStart w:id="32" w:name="_Toc40046033"/>
      <w:r>
        <w:rPr>
          <w:rFonts w:hint="eastAsia" w:hAnsi="宋体"/>
          <w:szCs w:val="28"/>
        </w:rPr>
        <w:t>根据部门重点工作任务，二级指标部门效果目标下设4个三级指标。指标权重合计21.6分，自评得分21.6分，得分率为100%。</w:t>
      </w:r>
    </w:p>
    <w:tbl>
      <w:tblPr>
        <w:tblStyle w:val="18"/>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62"/>
        <w:gridCol w:w="1102"/>
        <w:gridCol w:w="1560"/>
        <w:gridCol w:w="850"/>
        <w:gridCol w:w="851"/>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2862"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hint="eastAsia" w:ascii="仿宋_GB2312" w:hAnsi="宋体" w:eastAsia="仿宋_GB2312" w:cs="宋体"/>
                <w:b/>
                <w:bCs/>
                <w:color w:val="000000"/>
                <w:kern w:val="0"/>
                <w:sz w:val="24"/>
                <w:szCs w:val="24"/>
              </w:rPr>
              <w:t>三级指标</w:t>
            </w:r>
          </w:p>
        </w:tc>
        <w:tc>
          <w:tcPr>
            <w:tcW w:w="1102"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hint="eastAsia" w:ascii="仿宋_GB2312" w:hAnsi="宋体" w:eastAsia="仿宋_GB2312" w:cs="宋体"/>
                <w:b/>
                <w:bCs/>
                <w:color w:val="000000"/>
                <w:kern w:val="0"/>
                <w:sz w:val="24"/>
                <w:szCs w:val="24"/>
              </w:rPr>
              <w:t>年度指标值</w:t>
            </w:r>
          </w:p>
        </w:tc>
        <w:tc>
          <w:tcPr>
            <w:tcW w:w="1560"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hint="eastAsia" w:ascii="仿宋_GB2312" w:hAnsi="宋体" w:eastAsia="仿宋_GB2312" w:cs="宋体"/>
                <w:b/>
                <w:bCs/>
                <w:color w:val="000000"/>
                <w:kern w:val="0"/>
                <w:sz w:val="24"/>
                <w:szCs w:val="24"/>
              </w:rPr>
              <w:t>实际完成值</w:t>
            </w:r>
          </w:p>
        </w:tc>
        <w:tc>
          <w:tcPr>
            <w:tcW w:w="850"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分值</w:t>
            </w:r>
          </w:p>
        </w:tc>
        <w:tc>
          <w:tcPr>
            <w:tcW w:w="851"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hint="eastAsia" w:ascii="仿宋_GB2312" w:hAnsi="宋体" w:eastAsia="仿宋_GB2312" w:cs="宋体"/>
                <w:b/>
                <w:bCs/>
                <w:color w:val="000000"/>
                <w:kern w:val="0"/>
                <w:sz w:val="24"/>
                <w:szCs w:val="24"/>
              </w:rPr>
              <w:t>得分</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hint="eastAsia" w:ascii="仿宋_GB2312" w:hAnsi="宋体" w:eastAsia="仿宋_GB2312" w:cs="宋体"/>
                <w:b/>
                <w:bCs/>
                <w:color w:val="000000"/>
                <w:kern w:val="0"/>
                <w:sz w:val="24"/>
                <w:szCs w:val="24"/>
              </w:rPr>
              <w:t>得分率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62"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hint="eastAsia" w:ascii="仿宋_GB2312" w:hAnsi="宋体" w:eastAsia="仿宋_GB2312" w:cs="宋体"/>
                <w:color w:val="000000"/>
                <w:kern w:val="0"/>
                <w:sz w:val="24"/>
                <w:szCs w:val="24"/>
              </w:rPr>
              <w:t>工作完成及时性</w:t>
            </w:r>
          </w:p>
        </w:tc>
        <w:tc>
          <w:tcPr>
            <w:tcW w:w="1102"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hint="eastAsia" w:ascii="仿宋_GB2312" w:hAnsi="宋体" w:eastAsia="仿宋_GB2312" w:cs="宋体"/>
                <w:color w:val="000000"/>
                <w:kern w:val="0"/>
                <w:sz w:val="24"/>
                <w:szCs w:val="24"/>
              </w:rPr>
              <w:t>及时</w:t>
            </w:r>
          </w:p>
        </w:tc>
        <w:tc>
          <w:tcPr>
            <w:tcW w:w="1560"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hint="eastAsia" w:ascii="仿宋_GB2312" w:hAnsi="宋体" w:eastAsia="仿宋_GB2312" w:cs="宋体"/>
                <w:color w:val="000000"/>
                <w:kern w:val="0"/>
                <w:sz w:val="24"/>
                <w:szCs w:val="24"/>
              </w:rPr>
              <w:t>100%</w:t>
            </w:r>
          </w:p>
        </w:tc>
        <w:tc>
          <w:tcPr>
            <w:tcW w:w="850"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5.4</w:t>
            </w:r>
          </w:p>
        </w:tc>
        <w:tc>
          <w:tcPr>
            <w:tcW w:w="851"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hint="eastAsia" w:ascii="仿宋_GB2312" w:hAnsi="宋体" w:eastAsia="仿宋_GB2312" w:cs="宋体"/>
                <w:color w:val="000000"/>
                <w:kern w:val="0"/>
                <w:sz w:val="24"/>
                <w:szCs w:val="24"/>
              </w:rPr>
              <w:t>5.4</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hint="eastAsia" w:ascii="仿宋_GB2312" w:hAnsi="宋体" w:eastAsia="仿宋_GB2312" w:cs="宋体"/>
                <w:color w:val="000000"/>
                <w:kern w:val="0"/>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62"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培训出勤率</w:t>
            </w:r>
          </w:p>
        </w:tc>
        <w:tc>
          <w:tcPr>
            <w:tcW w:w="1102"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≥95%</w:t>
            </w:r>
          </w:p>
        </w:tc>
        <w:tc>
          <w:tcPr>
            <w:tcW w:w="1560"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100%</w:t>
            </w:r>
          </w:p>
        </w:tc>
        <w:tc>
          <w:tcPr>
            <w:tcW w:w="850"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5.4</w:t>
            </w:r>
          </w:p>
        </w:tc>
        <w:tc>
          <w:tcPr>
            <w:tcW w:w="851"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hint="eastAsia" w:ascii="仿宋_GB2312" w:hAnsi="宋体" w:eastAsia="仿宋_GB2312" w:cs="宋体"/>
                <w:color w:val="000000"/>
                <w:kern w:val="0"/>
                <w:sz w:val="24"/>
                <w:szCs w:val="24"/>
              </w:rPr>
              <w:t>5.4</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62"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机关会议效益完成指标</w:t>
            </w:r>
          </w:p>
        </w:tc>
        <w:tc>
          <w:tcPr>
            <w:tcW w:w="1102"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≥95%</w:t>
            </w:r>
          </w:p>
        </w:tc>
        <w:tc>
          <w:tcPr>
            <w:tcW w:w="1560"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97%</w:t>
            </w:r>
          </w:p>
        </w:tc>
        <w:tc>
          <w:tcPr>
            <w:tcW w:w="850"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5.4</w:t>
            </w:r>
          </w:p>
        </w:tc>
        <w:tc>
          <w:tcPr>
            <w:tcW w:w="851"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hint="eastAsia" w:ascii="仿宋_GB2312" w:hAnsi="宋体" w:eastAsia="仿宋_GB2312" w:cs="宋体"/>
                <w:color w:val="000000"/>
                <w:kern w:val="0"/>
                <w:sz w:val="24"/>
                <w:szCs w:val="24"/>
              </w:rPr>
              <w:t>5.4</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62"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开展民主监督及帮扶工作效益指标</w:t>
            </w:r>
          </w:p>
        </w:tc>
        <w:tc>
          <w:tcPr>
            <w:tcW w:w="1102"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≥95%</w:t>
            </w:r>
          </w:p>
        </w:tc>
        <w:tc>
          <w:tcPr>
            <w:tcW w:w="1560"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95%</w:t>
            </w:r>
          </w:p>
        </w:tc>
        <w:tc>
          <w:tcPr>
            <w:tcW w:w="850"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5.4</w:t>
            </w:r>
          </w:p>
        </w:tc>
        <w:tc>
          <w:tcPr>
            <w:tcW w:w="851"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hint="eastAsia" w:ascii="仿宋_GB2312" w:hAnsi="宋体" w:eastAsia="仿宋_GB2312" w:cs="宋体"/>
                <w:color w:val="000000"/>
                <w:kern w:val="0"/>
                <w:sz w:val="24"/>
                <w:szCs w:val="24"/>
              </w:rPr>
              <w:t>5.4</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24" w:type="dxa"/>
            <w:gridSpan w:val="3"/>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b/>
                <w:bCs/>
                <w:sz w:val="24"/>
                <w:szCs w:val="24"/>
              </w:rPr>
            </w:pPr>
            <w:r>
              <w:rPr>
                <w:rFonts w:hint="eastAsia" w:ascii="仿宋_GB2312" w:hAnsi="宋体" w:eastAsia="仿宋_GB2312" w:cs="宋体"/>
                <w:b/>
                <w:bCs/>
                <w:color w:val="000000"/>
                <w:kern w:val="0"/>
                <w:sz w:val="24"/>
                <w:szCs w:val="24"/>
              </w:rPr>
              <w:t>合计</w:t>
            </w:r>
          </w:p>
        </w:tc>
        <w:tc>
          <w:tcPr>
            <w:tcW w:w="850"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21.6</w:t>
            </w:r>
          </w:p>
        </w:tc>
        <w:tc>
          <w:tcPr>
            <w:tcW w:w="851"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b/>
                <w:bCs/>
                <w:sz w:val="24"/>
                <w:szCs w:val="24"/>
              </w:rPr>
            </w:pPr>
            <w:r>
              <w:rPr>
                <w:rFonts w:hint="eastAsia" w:ascii="仿宋_GB2312" w:eastAsia="仿宋_GB2312"/>
                <w:b/>
                <w:bCs/>
                <w:sz w:val="24"/>
                <w:szCs w:val="24"/>
              </w:rPr>
              <w:t>21.6</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b/>
                <w:bCs/>
                <w:sz w:val="24"/>
                <w:szCs w:val="24"/>
              </w:rPr>
            </w:pPr>
            <w:r>
              <w:rPr>
                <w:rFonts w:hint="eastAsia" w:ascii="仿宋_GB2312" w:eastAsia="仿宋_GB2312"/>
                <w:b/>
                <w:bCs/>
                <w:sz w:val="24"/>
                <w:szCs w:val="24"/>
              </w:rPr>
              <w:t>100%</w:t>
            </w:r>
          </w:p>
        </w:tc>
      </w:tr>
    </w:tbl>
    <w:p>
      <w:pPr>
        <w:ind w:firstLine="562"/>
        <w:rPr>
          <w:color w:val="auto"/>
        </w:rPr>
      </w:pPr>
      <w:r>
        <w:rPr>
          <w:rFonts w:hint="eastAsia" w:hAnsi="宋体"/>
          <w:b/>
          <w:bCs/>
          <w:color w:val="auto"/>
          <w:szCs w:val="28"/>
        </w:rPr>
        <w:t>工作完成及时性：</w:t>
      </w:r>
      <w:r>
        <w:rPr>
          <w:rFonts w:hint="eastAsia"/>
          <w:color w:val="auto"/>
        </w:rPr>
        <w:t>我单位各处室完成工作及时有效，以深入学习贯彻中共十九大和十九届历次全会精神、习近平总书记“七一”重要讲话精神、习近平总书记在纪念辛亥革命110周年大会上重要讲话精神为重点，及时跟进学习中共中央、民革中央、中共甘肃省委决策部署，系统学习“十四五”规划纲要、统一战线工作条例，常态化组织开展省委会理论学习中心组学习会议6次、省委会机关政治理论学习40次；领导班子成员讲党课、做辅导报告20余次，引导党员干部深刻领悟习近平新时代中国特色社会主义思想的科学性和真理性，进一步夯实了共同思想政治基础。据中共甘肃省委统战部统计，民革省委会提出的意见建议被相关部门采纳15条；地方组织和基层组织换届工作圆满完成，与2016年换届相比，进入市级人大、政府、政协班子的由4人增加到9人，进入班子人数和担任副市长的人数是各党派最多的。进入县（市区）人大、政府、政协班子的由12人增加到21人。指标权重5.4分，得分5.4分，得分率100%。</w:t>
      </w:r>
    </w:p>
    <w:p>
      <w:pPr>
        <w:ind w:firstLine="562"/>
        <w:rPr>
          <w:color w:val="auto"/>
        </w:rPr>
      </w:pPr>
      <w:r>
        <w:rPr>
          <w:rFonts w:hint="eastAsia"/>
          <w:b/>
          <w:bCs/>
          <w:color w:val="auto"/>
        </w:rPr>
        <w:t>培训出勤率：</w:t>
      </w:r>
      <w:r>
        <w:rPr>
          <w:rFonts w:hint="eastAsia"/>
          <w:color w:val="auto"/>
        </w:rPr>
        <w:t>本年因为疫情影响，我单位举办培训会一期，帮助积石山县铺川乡落实肉鸽养殖技术培训，人数120人（培训116人+4工作人员），培训天数7天，培训出勤率1</w:t>
      </w:r>
      <w:r>
        <w:rPr>
          <w:color w:val="auto"/>
        </w:rPr>
        <w:t>00</w:t>
      </w:r>
      <w:r>
        <w:rPr>
          <w:rFonts w:hint="eastAsia"/>
          <w:color w:val="auto"/>
        </w:rPr>
        <w:t>%，以此调动各级党员参政议政的积极性、主动性，巩固提升村民收入，协调解决帮办实事，使我单位工作的整体能力和水平得以提升。指标权重5.4分，得分5.4分，得分率100%。</w:t>
      </w:r>
    </w:p>
    <w:p>
      <w:pPr>
        <w:ind w:firstLine="562"/>
      </w:pPr>
      <w:r>
        <w:rPr>
          <w:rFonts w:hint="eastAsia"/>
          <w:b/>
          <w:bCs/>
        </w:rPr>
        <w:t>机关会议效益：</w:t>
      </w:r>
      <w:r>
        <w:rPr>
          <w:rFonts w:hint="eastAsia"/>
        </w:rPr>
        <w:t>通过会议，引导党员干部深刻领悟习近平新时代中国特色社会主义思想的科学性和真理性，进一步夯实了共同思想政治基础。全省各级组织开展学习教育现场教学70余次，进一步统一了广大党员在中国共产党领导下奋力夺取新时代中国特色社会主义新的伟大胜利的思想意志。指标权重5.4分，得分5.4分，得分率100%。</w:t>
      </w:r>
    </w:p>
    <w:p>
      <w:pPr>
        <w:ind w:firstLine="562"/>
      </w:pPr>
      <w:r>
        <w:rPr>
          <w:rFonts w:hint="eastAsia"/>
          <w:b/>
          <w:bCs/>
        </w:rPr>
        <w:t>开展民主监督及帮扶工作效益：</w:t>
      </w:r>
      <w:r>
        <w:rPr>
          <w:rFonts w:hint="eastAsia"/>
        </w:rPr>
        <w:t>省委会主要领导带队分别赴省农业农村厅和兰州市开展监督性调研4次并召开座谈会，形成专项民主监督报告和专题协商座谈会发言材料，共提出意见建议18条。</w:t>
      </w:r>
    </w:p>
    <w:p>
      <w:pPr>
        <w:ind w:firstLine="560"/>
      </w:pPr>
      <w:r>
        <w:rPr>
          <w:rFonts w:hint="eastAsia"/>
        </w:rPr>
        <w:t>认真开展乡村振兴对口帮扶工作。6个集体和10名民革党员荣获民革助力脱贫攻坚工作先进集体、先进个人称号。动员广大党员和机关干部开展消费扶贫活动，累计购买贫困地区农产品6.3万余元，</w:t>
      </w:r>
      <w:r>
        <w:rPr>
          <w:rFonts w:hint="eastAsia" w:hAnsi="仿宋"/>
          <w:szCs w:val="32"/>
        </w:rPr>
        <w:t>产生了较好的社会效益。</w:t>
      </w:r>
      <w:r>
        <w:rPr>
          <w:rFonts w:hint="eastAsia"/>
        </w:rPr>
        <w:t>指标权重5.4分，得分5.4分，得分率100%。</w:t>
      </w:r>
    </w:p>
    <w:p>
      <w:pPr>
        <w:pStyle w:val="4"/>
        <w:ind w:firstLine="562"/>
      </w:pPr>
      <w:r>
        <w:rPr>
          <w:rFonts w:hint="eastAsia"/>
        </w:rPr>
        <w:t>（3）服务对象满意度</w:t>
      </w:r>
    </w:p>
    <w:p>
      <w:pPr>
        <w:ind w:firstLine="560"/>
        <w:rPr>
          <w:rFonts w:hAnsi="宋体"/>
          <w:szCs w:val="28"/>
        </w:rPr>
      </w:pPr>
      <w:r>
        <w:rPr>
          <w:rFonts w:hint="eastAsia" w:hAnsi="宋体"/>
          <w:szCs w:val="28"/>
        </w:rPr>
        <w:t>根据我单位向社会提供公共产品和服务的主要对象，服务对象满意度主要社会对象满意度，指标权重合计5.4分，自评得分5.4分，得分率为100%。</w:t>
      </w:r>
    </w:p>
    <w:tbl>
      <w:tblPr>
        <w:tblStyle w:val="18"/>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9"/>
        <w:gridCol w:w="1559"/>
        <w:gridCol w:w="1559"/>
        <w:gridCol w:w="851"/>
        <w:gridCol w:w="708"/>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2689"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hint="eastAsia" w:ascii="仿宋_GB2312" w:hAnsi="宋体" w:eastAsia="仿宋_GB2312" w:cs="宋体"/>
                <w:b/>
                <w:bCs/>
                <w:color w:val="000000"/>
                <w:kern w:val="0"/>
                <w:sz w:val="24"/>
                <w:szCs w:val="24"/>
              </w:rPr>
              <w:t>三级指标</w:t>
            </w:r>
          </w:p>
        </w:tc>
        <w:tc>
          <w:tcPr>
            <w:tcW w:w="1559"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hint="eastAsia" w:ascii="仿宋_GB2312" w:hAnsi="宋体" w:eastAsia="仿宋_GB2312" w:cs="宋体"/>
                <w:b/>
                <w:bCs/>
                <w:color w:val="000000"/>
                <w:kern w:val="0"/>
                <w:sz w:val="24"/>
                <w:szCs w:val="24"/>
              </w:rPr>
              <w:t>年度指标值</w:t>
            </w:r>
          </w:p>
        </w:tc>
        <w:tc>
          <w:tcPr>
            <w:tcW w:w="1559"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hint="eastAsia" w:ascii="仿宋_GB2312" w:hAnsi="宋体" w:eastAsia="仿宋_GB2312" w:cs="宋体"/>
                <w:b/>
                <w:bCs/>
                <w:color w:val="000000"/>
                <w:kern w:val="0"/>
                <w:sz w:val="24"/>
                <w:szCs w:val="24"/>
              </w:rPr>
              <w:t>实际完成值</w:t>
            </w:r>
          </w:p>
        </w:tc>
        <w:tc>
          <w:tcPr>
            <w:tcW w:w="851"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分值</w:t>
            </w:r>
          </w:p>
        </w:tc>
        <w:tc>
          <w:tcPr>
            <w:tcW w:w="708"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hint="eastAsia" w:ascii="仿宋_GB2312" w:hAnsi="宋体" w:eastAsia="仿宋_GB2312" w:cs="宋体"/>
                <w:b/>
                <w:bCs/>
                <w:color w:val="000000"/>
                <w:kern w:val="0"/>
                <w:sz w:val="24"/>
                <w:szCs w:val="24"/>
              </w:rPr>
              <w:t>得分</w:t>
            </w:r>
          </w:p>
        </w:tc>
        <w:tc>
          <w:tcPr>
            <w:tcW w:w="993"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hint="eastAsia" w:ascii="仿宋_GB2312" w:hAnsi="宋体" w:eastAsia="仿宋_GB2312" w:cs="宋体"/>
                <w:b/>
                <w:bCs/>
                <w:color w:val="000000"/>
                <w:kern w:val="0"/>
                <w:sz w:val="24"/>
                <w:szCs w:val="24"/>
              </w:rPr>
              <w:t>得分率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89"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hint="eastAsia" w:ascii="仿宋_GB2312" w:hAnsi="宋体" w:eastAsia="仿宋_GB2312" w:cs="宋体"/>
                <w:color w:val="000000"/>
                <w:kern w:val="0"/>
                <w:sz w:val="24"/>
                <w:szCs w:val="24"/>
              </w:rPr>
              <w:t>人民群众满意度</w:t>
            </w:r>
          </w:p>
        </w:tc>
        <w:tc>
          <w:tcPr>
            <w:tcW w:w="1559"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hint="eastAsia" w:ascii="仿宋_GB2312" w:hAnsi="宋体" w:eastAsia="仿宋_GB2312" w:cs="宋体"/>
                <w:color w:val="000000"/>
                <w:kern w:val="0"/>
                <w:sz w:val="24"/>
                <w:szCs w:val="24"/>
              </w:rPr>
              <w:t>≥95%</w:t>
            </w:r>
          </w:p>
        </w:tc>
        <w:tc>
          <w:tcPr>
            <w:tcW w:w="1559"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ascii="仿宋_GB2312" w:hAnsi="宋体" w:eastAsia="仿宋_GB2312" w:cs="宋体"/>
                <w:color w:val="000000"/>
                <w:kern w:val="0"/>
                <w:sz w:val="24"/>
                <w:szCs w:val="24"/>
              </w:rPr>
              <w:t>9</w:t>
            </w:r>
            <w:r>
              <w:rPr>
                <w:rFonts w:hint="eastAsia" w:ascii="仿宋_GB2312" w:hAnsi="宋体" w:eastAsia="仿宋_GB2312" w:cs="宋体"/>
                <w:color w:val="000000"/>
                <w:kern w:val="0"/>
                <w:sz w:val="24"/>
                <w:szCs w:val="24"/>
              </w:rPr>
              <w:t>8</w:t>
            </w:r>
            <w:r>
              <w:rPr>
                <w:rFonts w:ascii="仿宋_GB2312" w:hAnsi="宋体" w:eastAsia="仿宋_GB2312" w:cs="宋体"/>
                <w:color w:val="000000"/>
                <w:kern w:val="0"/>
                <w:sz w:val="24"/>
                <w:szCs w:val="24"/>
              </w:rPr>
              <w:t>%</w:t>
            </w:r>
          </w:p>
        </w:tc>
        <w:tc>
          <w:tcPr>
            <w:tcW w:w="851"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5.4</w:t>
            </w:r>
          </w:p>
        </w:tc>
        <w:tc>
          <w:tcPr>
            <w:tcW w:w="708"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hint="eastAsia" w:ascii="仿宋_GB2312" w:eastAsia="仿宋_GB2312"/>
                <w:sz w:val="24"/>
                <w:szCs w:val="24"/>
              </w:rPr>
              <w:t>5.4</w:t>
            </w:r>
          </w:p>
        </w:tc>
        <w:tc>
          <w:tcPr>
            <w:tcW w:w="993"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ascii="仿宋_GB2312" w:hAnsi="宋体" w:eastAsia="仿宋_GB2312" w:cs="宋体"/>
                <w:color w:val="000000"/>
                <w:kern w:val="0"/>
                <w:sz w:val="24"/>
                <w:szCs w:val="24"/>
              </w:rPr>
              <w:t>100</w:t>
            </w:r>
            <w:r>
              <w:rPr>
                <w:rFonts w:hint="eastAsia" w:ascii="仿宋_GB2312" w:hAnsi="宋体" w:eastAsia="仿宋_GB2312" w:cs="宋体"/>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07" w:type="dxa"/>
            <w:gridSpan w:val="3"/>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b/>
                <w:bCs/>
                <w:sz w:val="24"/>
                <w:szCs w:val="24"/>
              </w:rPr>
            </w:pPr>
            <w:r>
              <w:rPr>
                <w:rFonts w:hint="eastAsia" w:ascii="仿宋_GB2312" w:hAnsi="宋体" w:eastAsia="仿宋_GB2312" w:cs="宋体"/>
                <w:b/>
                <w:bCs/>
                <w:color w:val="000000"/>
                <w:kern w:val="0"/>
                <w:sz w:val="24"/>
                <w:szCs w:val="24"/>
              </w:rPr>
              <w:t>合计</w:t>
            </w:r>
          </w:p>
        </w:tc>
        <w:tc>
          <w:tcPr>
            <w:tcW w:w="851"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5.4</w:t>
            </w:r>
          </w:p>
        </w:tc>
        <w:tc>
          <w:tcPr>
            <w:tcW w:w="708"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b/>
                <w:bCs/>
                <w:sz w:val="24"/>
                <w:szCs w:val="24"/>
              </w:rPr>
            </w:pPr>
            <w:r>
              <w:rPr>
                <w:rFonts w:hint="eastAsia" w:ascii="仿宋_GB2312" w:eastAsia="仿宋_GB2312"/>
                <w:b/>
                <w:bCs/>
                <w:sz w:val="24"/>
                <w:szCs w:val="24"/>
              </w:rPr>
              <w:t>5.4</w:t>
            </w:r>
          </w:p>
        </w:tc>
        <w:tc>
          <w:tcPr>
            <w:tcW w:w="993"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b/>
                <w:bCs/>
                <w:sz w:val="24"/>
                <w:szCs w:val="24"/>
              </w:rPr>
            </w:pPr>
            <w:r>
              <w:rPr>
                <w:rFonts w:ascii="仿宋_GB2312" w:eastAsia="仿宋_GB2312"/>
                <w:b/>
                <w:bCs/>
                <w:sz w:val="24"/>
                <w:szCs w:val="24"/>
              </w:rPr>
              <w:t>100</w:t>
            </w:r>
            <w:r>
              <w:rPr>
                <w:rFonts w:hint="eastAsia" w:ascii="仿宋_GB2312" w:eastAsia="仿宋_GB2312"/>
                <w:b/>
                <w:bCs/>
                <w:sz w:val="24"/>
                <w:szCs w:val="24"/>
              </w:rPr>
              <w:t>%</w:t>
            </w:r>
          </w:p>
        </w:tc>
      </w:tr>
    </w:tbl>
    <w:p>
      <w:pPr>
        <w:ind w:firstLine="562"/>
      </w:pPr>
      <w:r>
        <w:rPr>
          <w:rFonts w:hint="eastAsia" w:hAnsi="宋体"/>
          <w:b/>
          <w:bCs/>
          <w:szCs w:val="28"/>
        </w:rPr>
        <w:t>人民群众满意度：</w:t>
      </w:r>
      <w:bookmarkStart w:id="33" w:name="_Hlk96530353"/>
      <w:r>
        <w:rPr>
          <w:rFonts w:hint="eastAsia"/>
        </w:rPr>
        <w:t>在日常工作开展中，我会建立了必要的工作反馈机制，工作开展情况与各方进行有效地沟通，服务环境不断改善，人才队伍不断扩大，服务体系不断规范，在党派人士、省委省政府和受帮扶群众中反响良好，未收到任何投诉或举报，各方对我会履职和工作开展情况总体满意，</w:t>
      </w:r>
      <w:r>
        <w:rPr>
          <w:rFonts w:hint="eastAsia" w:hAnsi="仿宋"/>
          <w:szCs w:val="32"/>
        </w:rPr>
        <w:t>但平时未能注意收满意度相关的数据和资料，故实际完成98%。</w:t>
      </w:r>
      <w:bookmarkEnd w:id="33"/>
      <w:r>
        <w:rPr>
          <w:rFonts w:hint="eastAsia"/>
        </w:rPr>
        <w:t>指标权重5.4分，自评得分5.4分，得分率1</w:t>
      </w:r>
      <w:r>
        <w:t>00</w:t>
      </w:r>
      <w:r>
        <w:rPr>
          <w:rFonts w:hint="eastAsia"/>
        </w:rPr>
        <w:t>%。</w:t>
      </w:r>
    </w:p>
    <w:p>
      <w:pPr>
        <w:pStyle w:val="4"/>
        <w:ind w:firstLine="562"/>
      </w:pPr>
      <w:r>
        <w:rPr>
          <w:rFonts w:hint="eastAsia"/>
        </w:rPr>
        <w:t>（4）社会影响</w:t>
      </w:r>
    </w:p>
    <w:p>
      <w:pPr>
        <w:ind w:firstLine="560"/>
        <w:rPr>
          <w:rFonts w:hAnsi="宋体"/>
          <w:szCs w:val="28"/>
        </w:rPr>
      </w:pPr>
      <w:r>
        <w:rPr>
          <w:rFonts w:hint="eastAsia"/>
        </w:rPr>
        <w:t>社会影响从单位获奖情况及违法违纪情况方面考虑，</w:t>
      </w:r>
      <w:r>
        <w:rPr>
          <w:rFonts w:hint="eastAsia" w:hAnsi="宋体"/>
          <w:szCs w:val="28"/>
        </w:rPr>
        <w:t>不赋分值，仅体现。</w:t>
      </w:r>
    </w:p>
    <w:tbl>
      <w:tblPr>
        <w:tblStyle w:val="18"/>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1559"/>
        <w:gridCol w:w="1560"/>
        <w:gridCol w:w="850"/>
        <w:gridCol w:w="851"/>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2405"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hint="eastAsia" w:ascii="仿宋_GB2312" w:eastAsia="仿宋_GB2312"/>
                <w:sz w:val="24"/>
                <w:szCs w:val="24"/>
              </w:rPr>
            </w:pPr>
            <w:r>
              <w:rPr>
                <w:rFonts w:hint="eastAsia" w:ascii="仿宋_GB2312" w:hAnsi="宋体" w:eastAsia="仿宋_GB2312" w:cs="宋体"/>
                <w:b/>
                <w:bCs/>
                <w:color w:val="000000"/>
                <w:kern w:val="0"/>
                <w:sz w:val="24"/>
                <w:szCs w:val="24"/>
              </w:rPr>
              <w:t>三级指标</w:t>
            </w:r>
          </w:p>
        </w:tc>
        <w:tc>
          <w:tcPr>
            <w:tcW w:w="1559"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hint="eastAsia" w:ascii="仿宋_GB2312" w:eastAsia="仿宋_GB2312"/>
                <w:sz w:val="24"/>
                <w:szCs w:val="24"/>
              </w:rPr>
            </w:pPr>
            <w:r>
              <w:rPr>
                <w:rFonts w:hint="eastAsia" w:ascii="仿宋_GB2312" w:hAnsi="宋体" w:eastAsia="仿宋_GB2312" w:cs="宋体"/>
                <w:b/>
                <w:bCs/>
                <w:color w:val="000000"/>
                <w:kern w:val="0"/>
                <w:sz w:val="24"/>
                <w:szCs w:val="24"/>
              </w:rPr>
              <w:t>年度指标值</w:t>
            </w:r>
          </w:p>
        </w:tc>
        <w:tc>
          <w:tcPr>
            <w:tcW w:w="1560"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hint="eastAsia" w:ascii="仿宋_GB2312" w:eastAsia="仿宋_GB2312"/>
                <w:sz w:val="24"/>
                <w:szCs w:val="24"/>
              </w:rPr>
            </w:pPr>
            <w:r>
              <w:rPr>
                <w:rFonts w:hint="eastAsia" w:ascii="仿宋_GB2312" w:hAnsi="宋体" w:eastAsia="仿宋_GB2312" w:cs="宋体"/>
                <w:b/>
                <w:bCs/>
                <w:color w:val="000000"/>
                <w:kern w:val="0"/>
                <w:sz w:val="24"/>
                <w:szCs w:val="24"/>
              </w:rPr>
              <w:t>实际完成值</w:t>
            </w:r>
          </w:p>
        </w:tc>
        <w:tc>
          <w:tcPr>
            <w:tcW w:w="850"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hint="eastAsia"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分值</w:t>
            </w:r>
          </w:p>
        </w:tc>
        <w:tc>
          <w:tcPr>
            <w:tcW w:w="851"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hint="eastAsia" w:ascii="仿宋_GB2312" w:eastAsia="仿宋_GB2312"/>
                <w:sz w:val="24"/>
                <w:szCs w:val="24"/>
              </w:rPr>
            </w:pPr>
            <w:r>
              <w:rPr>
                <w:rFonts w:hint="eastAsia" w:ascii="仿宋_GB2312" w:hAnsi="宋体" w:eastAsia="仿宋_GB2312" w:cs="宋体"/>
                <w:b/>
                <w:bCs/>
                <w:color w:val="000000"/>
                <w:kern w:val="0"/>
                <w:sz w:val="24"/>
                <w:szCs w:val="24"/>
              </w:rPr>
              <w:t>得分</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hint="eastAsia" w:ascii="仿宋_GB2312" w:eastAsia="仿宋_GB2312"/>
                <w:sz w:val="24"/>
                <w:szCs w:val="24"/>
              </w:rPr>
            </w:pPr>
            <w:r>
              <w:rPr>
                <w:rFonts w:hint="eastAsia" w:ascii="仿宋_GB2312" w:hAnsi="宋体" w:eastAsia="仿宋_GB2312" w:cs="宋体"/>
                <w:b/>
                <w:bCs/>
                <w:color w:val="000000"/>
                <w:kern w:val="0"/>
                <w:sz w:val="24"/>
                <w:szCs w:val="24"/>
              </w:rPr>
              <w:t>得分率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5"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单位获奖情况</w:t>
            </w:r>
          </w:p>
        </w:tc>
        <w:tc>
          <w:tcPr>
            <w:tcW w:w="1559"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hint="eastAsia" w:ascii="仿宋_GB2312" w:hAnsi="宋体" w:eastAsia="仿宋_GB2312" w:cs="宋体"/>
                <w:color w:val="auto"/>
                <w:kern w:val="0"/>
                <w:sz w:val="24"/>
                <w:szCs w:val="24"/>
              </w:rPr>
            </w:pPr>
            <w:r>
              <w:rPr>
                <w:rFonts w:hint="eastAsia" w:ascii="仿宋_GB2312" w:eastAsia="仿宋_GB2312" w:cs="Arial"/>
                <w:color w:val="auto"/>
                <w:sz w:val="24"/>
                <w:szCs w:val="24"/>
              </w:rPr>
              <w:t>≥2次</w:t>
            </w:r>
          </w:p>
        </w:tc>
        <w:tc>
          <w:tcPr>
            <w:tcW w:w="1560"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5次</w:t>
            </w:r>
          </w:p>
        </w:tc>
        <w:tc>
          <w:tcPr>
            <w:tcW w:w="850"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hint="eastAsia" w:ascii="仿宋_GB2312" w:hAnsi="宋体" w:eastAsia="仿宋_GB2312" w:cs="宋体"/>
                <w:color w:val="000000"/>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hint="eastAsia" w:ascii="仿宋_GB2312" w:eastAsia="仿宋_GB2312"/>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hint="eastAsia" w:ascii="仿宋_GB2312" w:hAnsi="宋体" w:eastAsia="仿宋_GB2312"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5"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违法违纪情况</w:t>
            </w:r>
          </w:p>
        </w:tc>
        <w:tc>
          <w:tcPr>
            <w:tcW w:w="1559"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hint="eastAsia" w:ascii="仿宋_GB2312" w:hAnsi="宋体" w:eastAsia="仿宋_GB2312" w:cs="宋体"/>
                <w:color w:val="auto"/>
                <w:kern w:val="0"/>
                <w:sz w:val="24"/>
                <w:szCs w:val="24"/>
              </w:rPr>
            </w:pPr>
            <w:r>
              <w:rPr>
                <w:rFonts w:hint="eastAsia" w:ascii="仿宋_GB2312" w:eastAsia="仿宋_GB2312" w:cs="Arial"/>
                <w:color w:val="auto"/>
                <w:sz w:val="24"/>
                <w:szCs w:val="24"/>
              </w:rPr>
              <w:t>0</w:t>
            </w:r>
          </w:p>
        </w:tc>
        <w:tc>
          <w:tcPr>
            <w:tcW w:w="1560"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无</w:t>
            </w:r>
          </w:p>
        </w:tc>
        <w:tc>
          <w:tcPr>
            <w:tcW w:w="850"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hint="eastAsia" w:ascii="仿宋_GB2312" w:hAnsi="宋体" w:eastAsia="仿宋_GB2312" w:cs="宋体"/>
                <w:color w:val="000000"/>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hint="eastAsia" w:ascii="仿宋_GB2312" w:eastAsia="仿宋_GB2312"/>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hint="eastAsia" w:ascii="仿宋_GB2312" w:hAnsi="宋体" w:eastAsia="仿宋_GB2312" w:cs="宋体"/>
                <w:color w:val="000000"/>
                <w:kern w:val="0"/>
                <w:sz w:val="24"/>
                <w:szCs w:val="24"/>
              </w:rPr>
            </w:pPr>
          </w:p>
        </w:tc>
      </w:tr>
    </w:tbl>
    <w:p>
      <w:pPr>
        <w:ind w:firstLine="562"/>
      </w:pPr>
      <w:r>
        <w:rPr>
          <w:rFonts w:hint="eastAsia" w:hAnsi="宋体"/>
          <w:b/>
          <w:bCs/>
          <w:szCs w:val="28"/>
        </w:rPr>
        <w:t>单位获奖情况：</w:t>
      </w:r>
      <w:r>
        <w:rPr>
          <w:rFonts w:hint="eastAsia"/>
        </w:rPr>
        <w:t>省委会荣获2020年度全省统战信息工作先进单位二等奖；省委会组织处荣获民革全国组织工作先进集体；省委会被评为“民革中央庆祝中国共产党成立100周年”网络知识竞赛省级最佳组织奖；省委会荣获2021年度《团结报》宣传发行工作省级突出贡献集体优秀奖；省委会办公室荣获民革全国机关工作先进集体称号。</w:t>
      </w:r>
    </w:p>
    <w:p>
      <w:pPr>
        <w:ind w:firstLine="562"/>
        <w:rPr>
          <w:rFonts w:hAnsi="宋体"/>
          <w:b/>
          <w:bCs/>
          <w:szCs w:val="28"/>
        </w:rPr>
      </w:pPr>
      <w:r>
        <w:rPr>
          <w:rFonts w:hint="eastAsia" w:hAnsi="宋体"/>
          <w:b/>
          <w:bCs/>
          <w:szCs w:val="28"/>
        </w:rPr>
        <w:t>违法违纪情况：</w:t>
      </w:r>
      <w:r>
        <w:rPr>
          <w:rFonts w:hint="eastAsia"/>
        </w:rPr>
        <w:t>我单位未发生违法违纪情况。</w:t>
      </w:r>
    </w:p>
    <w:p>
      <w:pPr>
        <w:pStyle w:val="4"/>
        <w:ind w:firstLine="562"/>
      </w:pPr>
      <w:r>
        <w:rPr>
          <w:rFonts w:hint="eastAsia"/>
        </w:rPr>
        <w:t>4、能力建设</w:t>
      </w:r>
      <w:bookmarkEnd w:id="32"/>
    </w:p>
    <w:p>
      <w:pPr>
        <w:ind w:firstLine="560"/>
        <w:rPr>
          <w:rFonts w:hAnsi="宋体"/>
          <w:szCs w:val="28"/>
        </w:rPr>
      </w:pPr>
      <w:r>
        <w:rPr>
          <w:rFonts w:hint="eastAsia" w:hAnsi="宋体"/>
          <w:szCs w:val="28"/>
        </w:rPr>
        <w:t>根据《2021年度中国国民党革命委员会甘肃省委员会整体支出绩效自评表》，一级指标能力建设下设</w:t>
      </w:r>
      <w:r>
        <w:rPr>
          <w:rFonts w:hAnsi="宋体"/>
          <w:szCs w:val="28"/>
        </w:rPr>
        <w:t>4</w:t>
      </w:r>
      <w:r>
        <w:rPr>
          <w:rFonts w:hint="eastAsia" w:hAnsi="宋体"/>
          <w:szCs w:val="28"/>
        </w:rPr>
        <w:t>个三级指标，指标权重合计</w:t>
      </w:r>
      <w:r>
        <w:rPr>
          <w:rFonts w:hAnsi="宋体"/>
          <w:szCs w:val="28"/>
        </w:rPr>
        <w:t>9</w:t>
      </w:r>
      <w:r>
        <w:rPr>
          <w:rFonts w:hint="eastAsia" w:hAnsi="宋体"/>
          <w:szCs w:val="28"/>
        </w:rPr>
        <w:t>分，自评得分</w:t>
      </w:r>
      <w:r>
        <w:rPr>
          <w:rFonts w:hAnsi="宋体"/>
          <w:szCs w:val="28"/>
        </w:rPr>
        <w:t>9</w:t>
      </w:r>
      <w:r>
        <w:rPr>
          <w:rFonts w:hint="eastAsia" w:hAnsi="宋体"/>
          <w:szCs w:val="28"/>
        </w:rPr>
        <w:t>分，得分率为</w:t>
      </w:r>
      <w:r>
        <w:rPr>
          <w:rFonts w:hAnsi="宋体"/>
          <w:szCs w:val="28"/>
        </w:rPr>
        <w:t>100</w:t>
      </w:r>
      <w:r>
        <w:rPr>
          <w:rFonts w:hint="eastAsia" w:hAnsi="宋体"/>
          <w:szCs w:val="28"/>
        </w:rPr>
        <w:t>%。</w:t>
      </w:r>
    </w:p>
    <w:tbl>
      <w:tblPr>
        <w:tblStyle w:val="18"/>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37"/>
        <w:gridCol w:w="1011"/>
        <w:gridCol w:w="1559"/>
        <w:gridCol w:w="851"/>
        <w:gridCol w:w="708"/>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3237"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hint="eastAsia" w:ascii="仿宋_GB2312" w:hAnsi="宋体" w:eastAsia="仿宋_GB2312" w:cs="宋体"/>
                <w:b/>
                <w:bCs/>
                <w:color w:val="000000"/>
                <w:kern w:val="0"/>
                <w:sz w:val="24"/>
                <w:szCs w:val="24"/>
              </w:rPr>
              <w:t>三级指标</w:t>
            </w:r>
          </w:p>
        </w:tc>
        <w:tc>
          <w:tcPr>
            <w:tcW w:w="1011"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hint="eastAsia" w:ascii="仿宋_GB2312" w:hAnsi="宋体" w:eastAsia="仿宋_GB2312" w:cs="宋体"/>
                <w:b/>
                <w:bCs/>
                <w:color w:val="000000"/>
                <w:kern w:val="0"/>
                <w:sz w:val="24"/>
                <w:szCs w:val="24"/>
              </w:rPr>
              <w:t>年度指标值</w:t>
            </w:r>
          </w:p>
        </w:tc>
        <w:tc>
          <w:tcPr>
            <w:tcW w:w="1559"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hint="eastAsia" w:ascii="仿宋_GB2312" w:hAnsi="宋体" w:eastAsia="仿宋_GB2312" w:cs="宋体"/>
                <w:b/>
                <w:bCs/>
                <w:color w:val="000000"/>
                <w:kern w:val="0"/>
                <w:sz w:val="24"/>
                <w:szCs w:val="24"/>
              </w:rPr>
              <w:t>实际完成值</w:t>
            </w:r>
          </w:p>
        </w:tc>
        <w:tc>
          <w:tcPr>
            <w:tcW w:w="851"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分值</w:t>
            </w:r>
          </w:p>
        </w:tc>
        <w:tc>
          <w:tcPr>
            <w:tcW w:w="708"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hint="eastAsia" w:ascii="仿宋_GB2312" w:hAnsi="宋体" w:eastAsia="仿宋_GB2312" w:cs="宋体"/>
                <w:b/>
                <w:bCs/>
                <w:color w:val="000000"/>
                <w:kern w:val="0"/>
                <w:sz w:val="24"/>
                <w:szCs w:val="24"/>
              </w:rPr>
              <w:t>得分</w:t>
            </w:r>
          </w:p>
        </w:tc>
        <w:tc>
          <w:tcPr>
            <w:tcW w:w="993"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hint="eastAsia" w:ascii="仿宋_GB2312" w:hAnsi="宋体" w:eastAsia="仿宋_GB2312" w:cs="宋体"/>
                <w:b/>
                <w:bCs/>
                <w:color w:val="000000"/>
                <w:kern w:val="0"/>
                <w:sz w:val="24"/>
                <w:szCs w:val="24"/>
              </w:rPr>
              <w:t>得分率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37"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hint="eastAsia" w:ascii="仿宋_GB2312" w:hAnsi="宋体" w:eastAsia="仿宋_GB2312" w:cs="宋体"/>
                <w:color w:val="000000"/>
                <w:kern w:val="0"/>
                <w:sz w:val="24"/>
                <w:szCs w:val="24"/>
              </w:rPr>
              <w:t>机关长效管理建设完备程度</w:t>
            </w:r>
          </w:p>
        </w:tc>
        <w:tc>
          <w:tcPr>
            <w:tcW w:w="1011"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hint="eastAsia" w:ascii="仿宋_GB2312" w:hAnsi="宋体" w:eastAsia="仿宋_GB2312" w:cs="宋体"/>
                <w:color w:val="000000"/>
                <w:kern w:val="0"/>
                <w:sz w:val="24"/>
                <w:szCs w:val="24"/>
              </w:rPr>
              <w:t>完备</w:t>
            </w:r>
          </w:p>
        </w:tc>
        <w:tc>
          <w:tcPr>
            <w:tcW w:w="1559"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ascii="仿宋_GB2312" w:hAnsi="宋体" w:eastAsia="仿宋_GB2312" w:cs="宋体"/>
                <w:color w:val="000000"/>
                <w:kern w:val="0"/>
                <w:sz w:val="24"/>
                <w:szCs w:val="24"/>
              </w:rPr>
              <w:t>100</w:t>
            </w:r>
            <w:r>
              <w:rPr>
                <w:rFonts w:hint="eastAsia" w:ascii="仿宋_GB2312" w:hAnsi="宋体" w:eastAsia="仿宋_GB2312" w:cs="宋体"/>
                <w:color w:val="000000"/>
                <w:kern w:val="0"/>
                <w:sz w:val="24"/>
                <w:szCs w:val="24"/>
              </w:rPr>
              <w:t>%</w:t>
            </w:r>
          </w:p>
        </w:tc>
        <w:tc>
          <w:tcPr>
            <w:tcW w:w="851"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hAnsi="宋体" w:eastAsia="仿宋_GB2312" w:cs="宋体"/>
                <w:color w:val="000000"/>
                <w:kern w:val="0"/>
                <w:sz w:val="24"/>
                <w:szCs w:val="24"/>
              </w:rPr>
            </w:pPr>
            <w:r>
              <w:rPr>
                <w:rFonts w:ascii="仿宋_GB2312" w:hAnsi="宋体" w:eastAsia="仿宋_GB2312" w:cs="宋体"/>
                <w:color w:val="000000"/>
                <w:kern w:val="0"/>
                <w:sz w:val="24"/>
                <w:szCs w:val="24"/>
              </w:rPr>
              <w:t>3</w:t>
            </w:r>
          </w:p>
        </w:tc>
        <w:tc>
          <w:tcPr>
            <w:tcW w:w="708"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hint="eastAsia" w:ascii="仿宋_GB2312" w:eastAsia="仿宋_GB2312"/>
                <w:sz w:val="24"/>
                <w:szCs w:val="24"/>
              </w:rPr>
              <w:t>3</w:t>
            </w:r>
          </w:p>
        </w:tc>
        <w:tc>
          <w:tcPr>
            <w:tcW w:w="993"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hint="eastAsia" w:ascii="仿宋_GB2312" w:hAnsi="宋体" w:eastAsia="仿宋_GB2312" w:cs="宋体"/>
                <w:color w:val="000000"/>
                <w:kern w:val="0"/>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37"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人力资源建设情况完备程度</w:t>
            </w:r>
          </w:p>
        </w:tc>
        <w:tc>
          <w:tcPr>
            <w:tcW w:w="1011"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完善</w:t>
            </w:r>
          </w:p>
        </w:tc>
        <w:tc>
          <w:tcPr>
            <w:tcW w:w="1559"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hAnsi="宋体" w:eastAsia="仿宋_GB2312" w:cs="宋体"/>
                <w:color w:val="000000"/>
                <w:kern w:val="0"/>
                <w:sz w:val="24"/>
                <w:szCs w:val="24"/>
              </w:rPr>
            </w:pPr>
            <w:r>
              <w:rPr>
                <w:rFonts w:ascii="仿宋_GB2312" w:hAnsi="宋体" w:eastAsia="仿宋_GB2312" w:cs="宋体"/>
                <w:color w:val="000000"/>
                <w:kern w:val="0"/>
                <w:sz w:val="24"/>
                <w:szCs w:val="24"/>
              </w:rPr>
              <w:t>100%</w:t>
            </w:r>
          </w:p>
        </w:tc>
        <w:tc>
          <w:tcPr>
            <w:tcW w:w="851"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w:t>
            </w:r>
          </w:p>
        </w:tc>
        <w:tc>
          <w:tcPr>
            <w:tcW w:w="708"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hint="eastAsia" w:ascii="仿宋_GB2312" w:eastAsia="仿宋_GB2312"/>
                <w:sz w:val="24"/>
                <w:szCs w:val="24"/>
              </w:rPr>
              <w:t>3</w:t>
            </w:r>
          </w:p>
        </w:tc>
        <w:tc>
          <w:tcPr>
            <w:tcW w:w="993"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w:t>
            </w:r>
            <w:r>
              <w:rPr>
                <w:rFonts w:ascii="仿宋_GB2312" w:hAnsi="宋体" w:eastAsia="仿宋_GB2312" w:cs="宋体"/>
                <w:color w:val="000000"/>
                <w:kern w:val="0"/>
                <w:sz w:val="24"/>
                <w:szCs w:val="24"/>
              </w:rPr>
              <w:t>00</w:t>
            </w:r>
            <w:r>
              <w:rPr>
                <w:rFonts w:hint="eastAsia" w:ascii="仿宋_GB2312" w:hAnsi="宋体" w:eastAsia="仿宋_GB2312" w:cs="宋体"/>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37"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档案管理建设完备程度</w:t>
            </w:r>
          </w:p>
        </w:tc>
        <w:tc>
          <w:tcPr>
            <w:tcW w:w="1011"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完备</w:t>
            </w:r>
          </w:p>
        </w:tc>
        <w:tc>
          <w:tcPr>
            <w:tcW w:w="1559"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w:t>
            </w:r>
            <w:r>
              <w:rPr>
                <w:rFonts w:ascii="仿宋_GB2312" w:hAnsi="宋体" w:eastAsia="仿宋_GB2312" w:cs="宋体"/>
                <w:color w:val="000000"/>
                <w:kern w:val="0"/>
                <w:sz w:val="24"/>
                <w:szCs w:val="24"/>
              </w:rPr>
              <w:t>00</w:t>
            </w:r>
            <w:r>
              <w:rPr>
                <w:rFonts w:hint="eastAsia" w:ascii="仿宋_GB2312" w:hAnsi="宋体" w:eastAsia="仿宋_GB2312" w:cs="宋体"/>
                <w:color w:val="000000"/>
                <w:kern w:val="0"/>
                <w:sz w:val="24"/>
                <w:szCs w:val="24"/>
              </w:rPr>
              <w:t>%</w:t>
            </w:r>
          </w:p>
        </w:tc>
        <w:tc>
          <w:tcPr>
            <w:tcW w:w="851"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w:t>
            </w:r>
          </w:p>
        </w:tc>
        <w:tc>
          <w:tcPr>
            <w:tcW w:w="708"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hint="eastAsia" w:ascii="仿宋_GB2312" w:eastAsia="仿宋_GB2312"/>
                <w:sz w:val="24"/>
                <w:szCs w:val="24"/>
              </w:rPr>
              <w:t>3</w:t>
            </w:r>
          </w:p>
        </w:tc>
        <w:tc>
          <w:tcPr>
            <w:tcW w:w="993"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w:t>
            </w:r>
            <w:r>
              <w:rPr>
                <w:rFonts w:ascii="仿宋_GB2312" w:hAnsi="宋体" w:eastAsia="仿宋_GB2312" w:cs="宋体"/>
                <w:color w:val="000000"/>
                <w:kern w:val="0"/>
                <w:sz w:val="24"/>
                <w:szCs w:val="24"/>
              </w:rPr>
              <w:t>00</w:t>
            </w:r>
            <w:r>
              <w:rPr>
                <w:rFonts w:hint="eastAsia" w:ascii="仿宋_GB2312" w:hAnsi="宋体" w:eastAsia="仿宋_GB2312" w:cs="宋体"/>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07" w:type="dxa"/>
            <w:gridSpan w:val="3"/>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b/>
                <w:bCs/>
                <w:sz w:val="24"/>
                <w:szCs w:val="24"/>
              </w:rPr>
            </w:pPr>
            <w:r>
              <w:rPr>
                <w:rFonts w:hint="eastAsia" w:ascii="仿宋_GB2312" w:hAnsi="宋体" w:eastAsia="仿宋_GB2312" w:cs="宋体"/>
                <w:b/>
                <w:bCs/>
                <w:color w:val="000000"/>
                <w:kern w:val="0"/>
                <w:sz w:val="24"/>
                <w:szCs w:val="24"/>
              </w:rPr>
              <w:t>合计</w:t>
            </w:r>
          </w:p>
        </w:tc>
        <w:tc>
          <w:tcPr>
            <w:tcW w:w="851"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9</w:t>
            </w:r>
          </w:p>
        </w:tc>
        <w:tc>
          <w:tcPr>
            <w:tcW w:w="708"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b/>
                <w:bCs/>
                <w:sz w:val="24"/>
                <w:szCs w:val="24"/>
              </w:rPr>
            </w:pPr>
            <w:r>
              <w:rPr>
                <w:rFonts w:hint="eastAsia" w:ascii="仿宋_GB2312" w:eastAsia="仿宋_GB2312"/>
                <w:b/>
                <w:bCs/>
                <w:sz w:val="24"/>
                <w:szCs w:val="24"/>
              </w:rPr>
              <w:t>9</w:t>
            </w:r>
          </w:p>
        </w:tc>
        <w:tc>
          <w:tcPr>
            <w:tcW w:w="993"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b/>
                <w:bCs/>
                <w:sz w:val="24"/>
                <w:szCs w:val="24"/>
              </w:rPr>
            </w:pPr>
            <w:r>
              <w:rPr>
                <w:rFonts w:hint="eastAsia" w:ascii="仿宋_GB2312" w:eastAsia="仿宋_GB2312"/>
                <w:b/>
                <w:bCs/>
                <w:sz w:val="24"/>
                <w:szCs w:val="24"/>
              </w:rPr>
              <w:t>100%</w:t>
            </w:r>
          </w:p>
        </w:tc>
      </w:tr>
    </w:tbl>
    <w:p>
      <w:pPr>
        <w:ind w:firstLine="562"/>
        <w:rPr>
          <w:rFonts w:hAnsi="宋体"/>
          <w:szCs w:val="28"/>
        </w:rPr>
      </w:pPr>
      <w:r>
        <w:rPr>
          <w:rFonts w:hint="eastAsia" w:hAnsi="宋体"/>
          <w:b/>
          <w:bCs/>
          <w:szCs w:val="28"/>
        </w:rPr>
        <w:t>机关长效管理建设完备程度：</w:t>
      </w:r>
      <w:r>
        <w:rPr>
          <w:rFonts w:hint="eastAsia" w:hAnsi="宋体"/>
          <w:szCs w:val="28"/>
        </w:rPr>
        <w:t>我单位长效管理明确完整、内容全面可行，能够为未来的工作明确目标、方向和内容。指标权重</w:t>
      </w:r>
      <w:r>
        <w:rPr>
          <w:rFonts w:hAnsi="宋体"/>
          <w:szCs w:val="28"/>
        </w:rPr>
        <w:t>3</w:t>
      </w:r>
      <w:r>
        <w:rPr>
          <w:rFonts w:hint="eastAsia" w:hAnsi="宋体"/>
          <w:szCs w:val="28"/>
        </w:rPr>
        <w:t>分，自评得分3分，得分率为100%。</w:t>
      </w:r>
    </w:p>
    <w:p>
      <w:pPr>
        <w:ind w:firstLine="562"/>
      </w:pPr>
      <w:r>
        <w:rPr>
          <w:rFonts w:hint="eastAsia" w:hAnsi="宋体"/>
          <w:b/>
          <w:bCs/>
          <w:szCs w:val="28"/>
        </w:rPr>
        <w:t>人力资源建设情况完备程度：</w:t>
      </w:r>
      <w:r>
        <w:rPr>
          <w:rFonts w:hint="eastAsia"/>
        </w:rPr>
        <w:t>我单位有完善的人员培训机制，并</w:t>
      </w:r>
      <w:r>
        <w:t>定期组织开展内部学习与培训，同时根据业务开展需要，派出相关业务人员，外出参</w:t>
      </w:r>
      <w:r>
        <w:rPr>
          <w:rFonts w:hint="eastAsia"/>
        </w:rPr>
        <w:t>加</w:t>
      </w:r>
      <w:r>
        <w:t>学习与培训，部门工作人</w:t>
      </w:r>
      <w:r>
        <w:rPr>
          <w:rFonts w:hint="eastAsia"/>
        </w:rPr>
        <w:t>员</w:t>
      </w:r>
      <w:r>
        <w:t>的业务能力与业务素质不断得到提升</w:t>
      </w:r>
      <w:r>
        <w:rPr>
          <w:rFonts w:hint="eastAsia"/>
        </w:rPr>
        <w:t>；加强专委会专家智库作用发挥，督促和组织各专委会通过形式多样的活动，在提升委员参政议政工作的积极性的同时也提高了调研的科学性。指标权重3分，自评得分3分，得分率1</w:t>
      </w:r>
      <w:r>
        <w:t>00</w:t>
      </w:r>
      <w:r>
        <w:rPr>
          <w:rFonts w:hint="eastAsia"/>
        </w:rPr>
        <w:t>%。</w:t>
      </w:r>
    </w:p>
    <w:p>
      <w:pPr>
        <w:ind w:firstLine="562"/>
        <w:rPr>
          <w:rFonts w:hAnsi="宋体"/>
          <w:szCs w:val="28"/>
        </w:rPr>
      </w:pPr>
      <w:r>
        <w:rPr>
          <w:rFonts w:hint="eastAsia" w:hAnsi="宋体"/>
          <w:b/>
          <w:bCs/>
          <w:szCs w:val="28"/>
        </w:rPr>
        <w:t>档案管理完备性：</w:t>
      </w:r>
      <w:r>
        <w:rPr>
          <w:rFonts w:hint="eastAsia" w:hAnsi="宋体"/>
          <w:szCs w:val="28"/>
        </w:rPr>
        <w:t>我单位档案管理工作完成较好，档案收集、保管方面管理到位，有效执行，并设有档案管理的专职人员。指标权重3分，自评得分3分，得分率为100%。</w:t>
      </w:r>
    </w:p>
    <w:p>
      <w:pPr>
        <w:pStyle w:val="3"/>
        <w:ind w:firstLine="643"/>
      </w:pPr>
      <w:bookmarkStart w:id="34" w:name="_Toc40046035"/>
      <w:bookmarkStart w:id="35" w:name="_Toc64058492"/>
      <w:bookmarkStart w:id="36" w:name="_Toc96423024"/>
      <w:r>
        <w:rPr>
          <w:rFonts w:hint="eastAsia"/>
        </w:rPr>
        <w:t>（四）偏离绩效目标的原因及下一步改进措施</w:t>
      </w:r>
      <w:bookmarkEnd w:id="34"/>
      <w:bookmarkEnd w:id="35"/>
      <w:bookmarkEnd w:id="36"/>
    </w:p>
    <w:p>
      <w:pPr>
        <w:pStyle w:val="4"/>
        <w:ind w:firstLine="562"/>
      </w:pPr>
      <w:r>
        <w:t>1</w:t>
      </w:r>
      <w:r>
        <w:rPr>
          <w:rFonts w:hint="eastAsia"/>
        </w:rPr>
        <w:t>、项目支出预算执行率</w:t>
      </w:r>
    </w:p>
    <w:p>
      <w:pPr>
        <w:ind w:firstLine="560"/>
        <w:rPr>
          <w:color w:val="auto"/>
        </w:rPr>
      </w:pPr>
      <w:r>
        <w:rPr>
          <w:rFonts w:hint="eastAsia"/>
          <w:color w:val="auto"/>
        </w:rPr>
        <w:t>偏差原因：疫情影响减少了培训等支出计划，项目预算执行率8</w:t>
      </w:r>
      <w:r>
        <w:rPr>
          <w:color w:val="auto"/>
        </w:rPr>
        <w:t>9.17</w:t>
      </w:r>
      <w:r>
        <w:rPr>
          <w:rFonts w:hint="eastAsia"/>
          <w:color w:val="auto"/>
        </w:rPr>
        <w:t>%。</w:t>
      </w:r>
    </w:p>
    <w:p>
      <w:pPr>
        <w:ind w:firstLine="560"/>
        <w:rPr>
          <w:rFonts w:hint="eastAsia"/>
          <w:color w:val="auto"/>
        </w:rPr>
      </w:pPr>
      <w:r>
        <w:rPr>
          <w:rFonts w:hint="eastAsia"/>
          <w:color w:val="auto"/>
        </w:rPr>
        <w:t>改进措施：提高预算执行率，严格按照工作计划和年初预算安排工作，使得预算执行率达到1</w:t>
      </w:r>
      <w:r>
        <w:rPr>
          <w:color w:val="auto"/>
        </w:rPr>
        <w:t>00</w:t>
      </w:r>
      <w:r>
        <w:rPr>
          <w:rFonts w:hint="eastAsia"/>
          <w:color w:val="auto"/>
        </w:rPr>
        <w:t>%。</w:t>
      </w:r>
    </w:p>
    <w:p>
      <w:pPr>
        <w:pStyle w:val="4"/>
        <w:ind w:firstLine="562"/>
      </w:pPr>
      <w:r>
        <w:t>2</w:t>
      </w:r>
      <w:r>
        <w:rPr>
          <w:rFonts w:hint="eastAsia"/>
        </w:rPr>
        <w:t>、“三公经费”控制率</w:t>
      </w:r>
    </w:p>
    <w:p>
      <w:pPr>
        <w:ind w:firstLine="560"/>
      </w:pPr>
      <w:r>
        <w:rPr>
          <w:rFonts w:hint="eastAsia"/>
        </w:rPr>
        <w:t>偏差原因：年初设置指标时误将目标值“≤</w:t>
      </w:r>
      <w:r>
        <w:t>100%”设为“＝100%”。</w:t>
      </w:r>
    </w:p>
    <w:p>
      <w:pPr>
        <w:ind w:firstLine="560"/>
      </w:pPr>
      <w:r>
        <w:rPr>
          <w:rFonts w:hint="eastAsia"/>
        </w:rPr>
        <w:t>改进措施：本指标实际完成值达到目标值，我单位下一年度将正确设置指标值。</w:t>
      </w:r>
    </w:p>
    <w:p>
      <w:pPr>
        <w:pStyle w:val="4"/>
        <w:ind w:firstLine="562"/>
      </w:pPr>
      <w:r>
        <w:t>3</w:t>
      </w:r>
      <w:r>
        <w:rPr>
          <w:rFonts w:hint="eastAsia"/>
        </w:rPr>
        <w:t>、结转结余变动率</w:t>
      </w:r>
    </w:p>
    <w:p>
      <w:pPr>
        <w:ind w:firstLine="560"/>
      </w:pPr>
      <w:r>
        <w:rPr>
          <w:rFonts w:hint="eastAsia"/>
        </w:rPr>
        <w:t>偏差原因：年初设置指标时误将目标值“≤</w:t>
      </w:r>
      <w:r>
        <w:t>0%”设为“≤100%”，疫情影响减少了调研、培训等支出。</w:t>
      </w:r>
    </w:p>
    <w:p>
      <w:pPr>
        <w:ind w:firstLine="560"/>
      </w:pPr>
      <w:r>
        <w:rPr>
          <w:rFonts w:hint="eastAsia"/>
        </w:rPr>
        <w:t>改进措施：在目标值设置合理的前提下，严格按照工作计划和年初预算安排工作。</w:t>
      </w:r>
    </w:p>
    <w:p>
      <w:pPr>
        <w:pStyle w:val="4"/>
        <w:ind w:firstLine="562"/>
      </w:pPr>
      <w:r>
        <w:t>4</w:t>
      </w:r>
      <w:r>
        <w:rPr>
          <w:rFonts w:hint="eastAsia"/>
        </w:rPr>
        <w:t>、在职人员控制率</w:t>
      </w:r>
    </w:p>
    <w:p>
      <w:pPr>
        <w:ind w:firstLine="560"/>
      </w:pPr>
      <w:bookmarkStart w:id="37" w:name="_Toc64058493"/>
      <w:r>
        <w:rPr>
          <w:rFonts w:hint="eastAsia"/>
        </w:rPr>
        <w:t>偏差原因：因我单位年初实有人数25人，调出2人，选调1人，年末实有人数24人，少一人。</w:t>
      </w:r>
    </w:p>
    <w:p>
      <w:pPr>
        <w:ind w:firstLine="560"/>
      </w:pPr>
      <w:r>
        <w:rPr>
          <w:rFonts w:hint="eastAsia"/>
        </w:rPr>
        <w:t>改进措施：我单位在目标编制时将目标值应设为≤100%。</w:t>
      </w:r>
    </w:p>
    <w:p>
      <w:pPr>
        <w:pStyle w:val="4"/>
        <w:ind w:firstLine="562"/>
      </w:pPr>
      <w:r>
        <w:t>5.</w:t>
      </w:r>
      <w:r>
        <w:rPr>
          <w:rFonts w:hint="eastAsia"/>
        </w:rPr>
        <w:t>计划组织培训次数</w:t>
      </w:r>
    </w:p>
    <w:p>
      <w:pPr>
        <w:ind w:firstLine="560"/>
      </w:pPr>
      <w:r>
        <w:rPr>
          <w:rFonts w:hint="eastAsia"/>
        </w:rPr>
        <w:t>偏差原因：因疫情影响，我单位本年度举办培训班</w:t>
      </w:r>
      <w:r>
        <w:t>1期。</w:t>
      </w:r>
    </w:p>
    <w:p>
      <w:pPr>
        <w:ind w:firstLine="560"/>
      </w:pPr>
      <w:r>
        <w:rPr>
          <w:rFonts w:hint="eastAsia"/>
        </w:rPr>
        <w:t>改进措施：在不受疫情影响的前提下，严格按照年度工作计划及年初预算工作安排开展。</w:t>
      </w:r>
    </w:p>
    <w:p>
      <w:pPr>
        <w:pStyle w:val="4"/>
        <w:ind w:firstLine="562"/>
        <w:rPr>
          <w:color w:val="auto"/>
        </w:rPr>
      </w:pPr>
      <w:r>
        <w:rPr>
          <w:rFonts w:hint="eastAsia"/>
          <w:color w:val="auto"/>
        </w:rPr>
        <w:t>6</w:t>
      </w:r>
      <w:r>
        <w:rPr>
          <w:rFonts w:hint="eastAsia"/>
          <w:color w:val="auto"/>
          <w:lang w:val="en-US" w:eastAsia="zh-CN"/>
        </w:rPr>
        <w:t>.</w:t>
      </w:r>
      <w:r>
        <w:rPr>
          <w:rFonts w:hint="eastAsia"/>
          <w:color w:val="auto"/>
        </w:rPr>
        <w:t>计划开展调研次数</w:t>
      </w:r>
    </w:p>
    <w:p>
      <w:pPr>
        <w:ind w:firstLine="560"/>
        <w:rPr>
          <w:color w:val="auto"/>
        </w:rPr>
      </w:pPr>
      <w:r>
        <w:rPr>
          <w:rFonts w:hint="eastAsia"/>
          <w:color w:val="auto"/>
        </w:rPr>
        <w:t>偏差原因：年初设置目标次数偏低，本年工作开展情况良好，调研次数达到1</w:t>
      </w:r>
      <w:r>
        <w:rPr>
          <w:color w:val="auto"/>
        </w:rPr>
        <w:t>5</w:t>
      </w:r>
      <w:r>
        <w:rPr>
          <w:rFonts w:hint="eastAsia"/>
          <w:color w:val="auto"/>
        </w:rPr>
        <w:t>次，工作完成度高。</w:t>
      </w:r>
    </w:p>
    <w:p>
      <w:pPr>
        <w:ind w:firstLine="560"/>
        <w:rPr>
          <w:rFonts w:hint="eastAsia"/>
          <w:color w:val="auto"/>
        </w:rPr>
      </w:pPr>
      <w:r>
        <w:rPr>
          <w:rFonts w:hint="eastAsia"/>
          <w:color w:val="auto"/>
        </w:rPr>
        <w:t>改进措施：在目标值设置合理的前提下，严格按照工作计划和年初预算安排工作。</w:t>
      </w:r>
    </w:p>
    <w:p>
      <w:pPr>
        <w:ind w:firstLine="560"/>
        <w:rPr>
          <w:rFonts w:hint="eastAsia" w:ascii="仿宋_GB2312" w:hAnsi="仿宋_GB2312" w:eastAsia="仿宋_GB2312" w:cstheme="minorBidi"/>
          <w:b/>
          <w:bCs/>
          <w:color w:val="auto"/>
          <w:kern w:val="2"/>
          <w:sz w:val="28"/>
          <w:szCs w:val="32"/>
          <w:lang w:val="en-US" w:eastAsia="zh-CN" w:bidi="ar-SA"/>
        </w:rPr>
      </w:pPr>
      <w:r>
        <w:rPr>
          <w:rFonts w:hint="eastAsia" w:ascii="仿宋_GB2312" w:hAnsi="仿宋_GB2312" w:eastAsia="仿宋_GB2312" w:cstheme="minorBidi"/>
          <w:b/>
          <w:bCs/>
          <w:color w:val="auto"/>
          <w:kern w:val="2"/>
          <w:sz w:val="28"/>
          <w:szCs w:val="32"/>
          <w:lang w:val="en-US" w:eastAsia="zh-CN" w:bidi="ar-SA"/>
        </w:rPr>
        <w:t>7.计划开展民主监督及帮扶次数</w:t>
      </w:r>
    </w:p>
    <w:p>
      <w:pPr>
        <w:ind w:firstLine="560"/>
        <w:rPr>
          <w:rFonts w:hint="default"/>
          <w:color w:val="auto"/>
          <w:lang w:val="en-US" w:eastAsia="zh-CN"/>
        </w:rPr>
      </w:pPr>
      <w:r>
        <w:rPr>
          <w:rFonts w:hint="default"/>
          <w:color w:val="auto"/>
          <w:lang w:val="en-US" w:eastAsia="zh-CN"/>
        </w:rPr>
        <w:t>偏差原因：年初设置目标次数偏低，本年工作开展情况良好，开展民主监督及帮扶6次，工作完成度高。</w:t>
      </w:r>
    </w:p>
    <w:p>
      <w:pPr>
        <w:ind w:firstLine="560"/>
        <w:rPr>
          <w:rFonts w:hint="default"/>
          <w:color w:val="auto"/>
          <w:lang w:val="en-US" w:eastAsia="zh-CN"/>
        </w:rPr>
      </w:pPr>
      <w:r>
        <w:rPr>
          <w:rFonts w:hint="default"/>
          <w:color w:val="auto"/>
          <w:lang w:val="en-US" w:eastAsia="zh-CN"/>
        </w:rPr>
        <w:t>改进措施：在目标值设置合理的前提下，严格按照工作计划和年初预算安排工作。</w:t>
      </w:r>
    </w:p>
    <w:p>
      <w:pPr>
        <w:pStyle w:val="2"/>
      </w:pPr>
      <w:bookmarkStart w:id="38" w:name="_Toc96423025"/>
      <w:r>
        <w:rPr>
          <w:rFonts w:hint="eastAsia"/>
        </w:rPr>
        <w:t>四、部门预算项目支出绩效自评情况分析</w:t>
      </w:r>
      <w:bookmarkEnd w:id="37"/>
      <w:bookmarkEnd w:id="38"/>
    </w:p>
    <w:p>
      <w:pPr>
        <w:ind w:firstLine="560"/>
      </w:pPr>
      <w:r>
        <w:rPr>
          <w:rFonts w:hint="eastAsia"/>
        </w:rPr>
        <w:t>2021年，我单位预算支出项目为主委特别费、培训费、调研费、业务费</w:t>
      </w:r>
      <w:r>
        <w:t>1</w:t>
      </w:r>
      <w:r>
        <w:rPr>
          <w:rFonts w:hint="eastAsia"/>
        </w:rPr>
        <w:t>个。通过自评，该项目结果为“优”。项目自评情况分析如下：</w:t>
      </w:r>
    </w:p>
    <w:p>
      <w:pPr>
        <w:pStyle w:val="3"/>
        <w:ind w:firstLine="643"/>
      </w:pPr>
      <w:bookmarkStart w:id="39" w:name="_Toc40046039"/>
      <w:bookmarkStart w:id="40" w:name="_Toc64058494"/>
      <w:bookmarkStart w:id="41" w:name="_Toc96423026"/>
      <w:r>
        <w:rPr>
          <w:rFonts w:hint="eastAsia"/>
        </w:rPr>
        <w:t>（一）项目-</w:t>
      </w:r>
      <w:bookmarkEnd w:id="39"/>
      <w:r>
        <w:rPr>
          <w:rFonts w:hint="eastAsia"/>
        </w:rPr>
        <w:t>主委特别费、培训费、调研费、业务费</w:t>
      </w:r>
      <w:bookmarkEnd w:id="40"/>
      <w:r>
        <w:rPr>
          <w:rFonts w:hint="eastAsia"/>
        </w:rPr>
        <w:t>（部门本级）</w:t>
      </w:r>
      <w:bookmarkEnd w:id="41"/>
    </w:p>
    <w:p>
      <w:pPr>
        <w:pStyle w:val="4"/>
        <w:ind w:firstLine="562"/>
        <w:rPr>
          <w:szCs w:val="28"/>
        </w:rPr>
      </w:pPr>
      <w:bookmarkStart w:id="42" w:name="_Toc40046040"/>
      <w:r>
        <w:rPr>
          <w:rFonts w:hint="eastAsia"/>
          <w:szCs w:val="28"/>
        </w:rPr>
        <w:t>1</w:t>
      </w:r>
      <w:r>
        <w:rPr>
          <w:rFonts w:hint="eastAsia" w:hAnsi="宋体"/>
          <w:szCs w:val="28"/>
        </w:rPr>
        <w:t>、</w:t>
      </w:r>
      <w:r>
        <w:rPr>
          <w:rFonts w:hint="eastAsia"/>
          <w:szCs w:val="28"/>
        </w:rPr>
        <w:t>项目支出预算执行情况</w:t>
      </w:r>
      <w:bookmarkEnd w:id="42"/>
    </w:p>
    <w:p>
      <w:pPr>
        <w:ind w:firstLine="560"/>
        <w:rPr>
          <w:szCs w:val="28"/>
        </w:rPr>
      </w:pPr>
      <w:r>
        <w:rPr>
          <w:rFonts w:hint="eastAsia"/>
          <w:szCs w:val="28"/>
        </w:rPr>
        <w:t>主委特别费、培训费、调研费、业务费（部门本级）项目年初预算数90万元，全年预算数</w:t>
      </w:r>
      <w:r>
        <w:rPr>
          <w:rFonts w:hint="eastAsia"/>
        </w:rPr>
        <w:t>92.32</w:t>
      </w:r>
      <w:r>
        <w:rPr>
          <w:rFonts w:hint="eastAsia"/>
          <w:szCs w:val="28"/>
        </w:rPr>
        <w:t>万元，全年执行数</w:t>
      </w:r>
      <w:r>
        <w:rPr>
          <w:rFonts w:hint="eastAsia"/>
        </w:rPr>
        <w:t>82.32</w:t>
      </w:r>
      <w:r>
        <w:rPr>
          <w:rFonts w:hint="eastAsia"/>
          <w:szCs w:val="28"/>
        </w:rPr>
        <w:t>万元，预算执行率</w:t>
      </w:r>
      <w:r>
        <w:rPr>
          <w:rFonts w:hint="eastAsia"/>
        </w:rPr>
        <w:t>89.17</w:t>
      </w:r>
      <w:r>
        <w:rPr>
          <w:rFonts w:hint="eastAsia"/>
          <w:szCs w:val="28"/>
        </w:rPr>
        <w:t>%，满分10分，得分8.92分。</w:t>
      </w:r>
    </w:p>
    <w:p>
      <w:pPr>
        <w:pStyle w:val="4"/>
        <w:ind w:firstLine="562"/>
        <w:rPr>
          <w:szCs w:val="28"/>
        </w:rPr>
      </w:pPr>
      <w:bookmarkStart w:id="43" w:name="_Toc40046041"/>
      <w:r>
        <w:rPr>
          <w:rFonts w:hint="eastAsia"/>
          <w:szCs w:val="28"/>
        </w:rPr>
        <w:t>2</w:t>
      </w:r>
      <w:r>
        <w:rPr>
          <w:rFonts w:hint="eastAsia" w:hAnsi="宋体"/>
          <w:szCs w:val="28"/>
        </w:rPr>
        <w:t>、</w:t>
      </w:r>
      <w:r>
        <w:rPr>
          <w:rFonts w:hint="eastAsia"/>
          <w:szCs w:val="28"/>
        </w:rPr>
        <w:t>总体绩效目标完成情况分析</w:t>
      </w:r>
      <w:bookmarkEnd w:id="43"/>
    </w:p>
    <w:p>
      <w:pPr>
        <w:ind w:firstLine="560"/>
        <w:rPr>
          <w:szCs w:val="28"/>
        </w:rPr>
      </w:pPr>
      <w:r>
        <w:rPr>
          <w:rFonts w:hint="eastAsia"/>
          <w:szCs w:val="28"/>
        </w:rPr>
        <w:t>主委特别费、培训费、调研费、业务费（部门本级）项目自评价得分95.43分，自评结果为“优”。</w:t>
      </w:r>
    </w:p>
    <w:p>
      <w:pPr>
        <w:ind w:firstLine="560"/>
        <w:rPr>
          <w:szCs w:val="28"/>
        </w:rPr>
      </w:pPr>
      <w:r>
        <w:rPr>
          <w:rFonts w:hint="eastAsia"/>
          <w:szCs w:val="28"/>
        </w:rPr>
        <w:t>总体绩效目标完成情况：</w:t>
      </w:r>
    </w:p>
    <w:p>
      <w:pPr>
        <w:ind w:firstLine="560"/>
      </w:pPr>
      <w:bookmarkStart w:id="44" w:name="_Toc40046042"/>
      <w:r>
        <w:rPr>
          <w:rFonts w:hint="eastAsia"/>
        </w:rPr>
        <w:t>（1）组织培训1次，帮助积石山县铺川乡落实肉鸽养殖技术培训，人数120人（培训116人+4工作人员），培训天数7天;</w:t>
      </w:r>
    </w:p>
    <w:p>
      <w:pPr>
        <w:ind w:firstLine="560"/>
      </w:pPr>
      <w:r>
        <w:rPr>
          <w:rFonts w:hint="eastAsia"/>
        </w:rPr>
        <w:t>（2）举办会议3次，包括举办民革甘肃省十二届四次全委（扩大）会议、全省“组织建设年”工作总结大会暨“作风建设年”工作推进会、全省参政议政工作会议暨各专门委员会工作会议；开展省委会理论学习中心组学习会议6次、省委会机关政治理论学习40 次，会议参会人数280余人，人均培训时长</w:t>
      </w:r>
      <w:r>
        <w:t>7</w:t>
      </w:r>
      <w:r>
        <w:rPr>
          <w:rFonts w:hint="eastAsia"/>
        </w:rPr>
        <w:t>天</w:t>
      </w:r>
      <w:r>
        <w:t>；</w:t>
      </w:r>
    </w:p>
    <w:p>
      <w:pPr>
        <w:ind w:firstLine="560"/>
      </w:pPr>
      <w:r>
        <w:rPr>
          <w:rFonts w:hint="eastAsia"/>
        </w:rPr>
        <w:t>（3）开展各类各项调研15次，包括全年深入省内各地开展专题调研7次，形成调研成果8篇；围绕年度政党协商议题，结合民革参政议政的优势领域，寻找调研切入口，围绕兰州新区发展、做大做特做优甘肃产业、农业与旅游业融合发展、推进向西开放等课题开展专项调研6次；就在西部陆海新通道实施铁路运输“量价捆绑”政策研究、祁连山国家公园甘肃省片区体制试点工作开展调研2次</w:t>
      </w:r>
      <w:r>
        <w:t>；</w:t>
      </w:r>
    </w:p>
    <w:p>
      <w:pPr>
        <w:ind w:firstLine="560"/>
      </w:pPr>
      <w:r>
        <w:rPr>
          <w:rFonts w:hint="eastAsia"/>
        </w:rPr>
        <w:t>（4）省委会主要领导带队分别赴省农业农村厅和兰州市开展监督性调研4次并召开座谈会，形成专项民主监督报告和专题协商座谈会发言材料，共提出意见建议18条;</w:t>
      </w:r>
    </w:p>
    <w:p>
      <w:pPr>
        <w:ind w:firstLine="560"/>
      </w:pPr>
      <w:r>
        <w:rPr>
          <w:rFonts w:hint="eastAsia"/>
        </w:rPr>
        <w:t>（5）参与对口帮扶及支持消费扶贫工作2项：做好积石山县小关乡唐藏村乡村振兴对口帮扶工作，全年引进项目及各类帮扶资金127.3万元；动员广大党员和机关干部开展消费扶贫活动，累计购买贫困地区农产品6.3万余元。积极开展社会服务活动5项：开展“送文化、送医药、送物资”下乡等活动；携手甘肃国林公益基金会开展“关爱童心”图书捐赠活动；为小关乡4所学校建立图书室4个；开展参与抗疫工作；联合甘肃国林公益基金会开展图书捐赠活动。</w:t>
      </w:r>
    </w:p>
    <w:p>
      <w:pPr>
        <w:pStyle w:val="4"/>
        <w:ind w:firstLine="562"/>
        <w:rPr>
          <w:szCs w:val="28"/>
        </w:rPr>
      </w:pPr>
      <w:r>
        <w:rPr>
          <w:rFonts w:hint="eastAsia"/>
          <w:szCs w:val="28"/>
        </w:rPr>
        <w:t>3</w:t>
      </w:r>
      <w:r>
        <w:rPr>
          <w:rFonts w:hint="eastAsia" w:hAnsi="宋体"/>
          <w:szCs w:val="28"/>
        </w:rPr>
        <w:t>、</w:t>
      </w:r>
      <w:r>
        <w:rPr>
          <w:rFonts w:hint="eastAsia"/>
          <w:szCs w:val="28"/>
        </w:rPr>
        <w:t>各项指标完成情况分析</w:t>
      </w:r>
      <w:bookmarkEnd w:id="44"/>
    </w:p>
    <w:p>
      <w:pPr>
        <w:ind w:firstLine="560"/>
        <w:rPr>
          <w:szCs w:val="28"/>
        </w:rPr>
      </w:pPr>
      <w:r>
        <w:rPr>
          <w:rFonts w:hint="eastAsia"/>
          <w:szCs w:val="28"/>
        </w:rPr>
        <w:t>根据</w:t>
      </w:r>
      <w:r>
        <w:rPr>
          <w:rFonts w:hint="eastAsia" w:hAnsi="宋体"/>
          <w:szCs w:val="28"/>
        </w:rPr>
        <w:t>《甘肃省财政厅关于开展</w:t>
      </w:r>
      <w:r>
        <w:rPr>
          <w:rFonts w:hAnsi="宋体"/>
          <w:szCs w:val="28"/>
        </w:rPr>
        <w:t>202</w:t>
      </w:r>
      <w:r>
        <w:rPr>
          <w:rFonts w:hint="eastAsia" w:hAnsi="宋体"/>
          <w:szCs w:val="28"/>
        </w:rPr>
        <w:t>1</w:t>
      </w:r>
      <w:r>
        <w:rPr>
          <w:rFonts w:hAnsi="宋体"/>
          <w:szCs w:val="28"/>
        </w:rPr>
        <w:t>年度省级预算执行情况绩效</w:t>
      </w:r>
      <w:r>
        <w:rPr>
          <w:rFonts w:hint="eastAsia" w:hAnsi="宋体"/>
          <w:szCs w:val="28"/>
        </w:rPr>
        <w:t>自评</w:t>
      </w:r>
      <w:r>
        <w:rPr>
          <w:rFonts w:hAnsi="宋体"/>
          <w:szCs w:val="28"/>
        </w:rPr>
        <w:t>工作的通知》（甘财绩〔202</w:t>
      </w:r>
      <w:r>
        <w:rPr>
          <w:rFonts w:hint="eastAsia" w:hAnsi="宋体"/>
          <w:szCs w:val="28"/>
        </w:rPr>
        <w:t>1</w:t>
      </w:r>
      <w:r>
        <w:rPr>
          <w:rFonts w:hAnsi="宋体"/>
          <w:szCs w:val="28"/>
        </w:rPr>
        <w:t>〕</w:t>
      </w:r>
      <w:r>
        <w:rPr>
          <w:rFonts w:hint="eastAsia" w:hAnsi="宋体"/>
          <w:szCs w:val="28"/>
        </w:rPr>
        <w:t>8</w:t>
      </w:r>
      <w:r>
        <w:rPr>
          <w:rFonts w:hAnsi="宋体"/>
          <w:szCs w:val="28"/>
        </w:rPr>
        <w:t>号）</w:t>
      </w:r>
      <w:r>
        <w:rPr>
          <w:rFonts w:hint="eastAsia"/>
          <w:szCs w:val="28"/>
        </w:rPr>
        <w:t>的要求，一级指标分值设置为产出指标</w:t>
      </w:r>
      <w:r>
        <w:rPr>
          <w:szCs w:val="28"/>
        </w:rPr>
        <w:t>50分、效益指标30分、满意度指标10分、预算资金执行率10分。</w:t>
      </w:r>
    </w:p>
    <w:p>
      <w:pPr>
        <w:pStyle w:val="4"/>
        <w:ind w:firstLine="562"/>
      </w:pPr>
      <w:r>
        <w:rPr>
          <w:rFonts w:hint="eastAsia"/>
        </w:rPr>
        <w:t>（1）产出指标</w:t>
      </w:r>
    </w:p>
    <w:p>
      <w:pPr>
        <w:ind w:firstLine="560"/>
        <w:rPr>
          <w:szCs w:val="28"/>
        </w:rPr>
      </w:pPr>
      <w:r>
        <w:rPr>
          <w:rFonts w:hint="eastAsia"/>
          <w:szCs w:val="28"/>
        </w:rPr>
        <w:t>产出指标包括产出数量、产出质量、产出时效和产出成本</w:t>
      </w:r>
      <w:r>
        <w:rPr>
          <w:szCs w:val="28"/>
        </w:rPr>
        <w:t>4</w:t>
      </w:r>
      <w:r>
        <w:rPr>
          <w:rFonts w:hint="eastAsia"/>
          <w:szCs w:val="28"/>
        </w:rPr>
        <w:t>个二级指标。总分值50分，得分46.51分，得分率93.02%。</w:t>
      </w:r>
    </w:p>
    <w:p>
      <w:pPr>
        <w:ind w:firstLine="562"/>
        <w:rPr>
          <w:b/>
          <w:bCs/>
          <w:szCs w:val="28"/>
        </w:rPr>
      </w:pPr>
      <w:r>
        <w:rPr>
          <w:rFonts w:hint="eastAsia"/>
          <w:b/>
          <w:bCs/>
          <w:szCs w:val="28"/>
        </w:rPr>
        <w:t>①产出数量：</w:t>
      </w:r>
    </w:p>
    <w:p>
      <w:pPr>
        <w:ind w:firstLine="560"/>
        <w:rPr>
          <w:rFonts w:hAnsi="宋体"/>
          <w:szCs w:val="28"/>
        </w:rPr>
      </w:pPr>
      <w:r>
        <w:rPr>
          <w:rFonts w:hint="eastAsia"/>
        </w:rPr>
        <w:t>产出数量指标下设7个三级指标，</w:t>
      </w:r>
      <w:r>
        <w:rPr>
          <w:rFonts w:hint="eastAsia" w:hAnsi="宋体"/>
          <w:szCs w:val="28"/>
        </w:rPr>
        <w:t>指标权重合计21.92分，自评得分18.43分，得分率为84.08%。</w:t>
      </w:r>
    </w:p>
    <w:tbl>
      <w:tblPr>
        <w:tblStyle w:val="18"/>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1560"/>
        <w:gridCol w:w="1559"/>
        <w:gridCol w:w="992"/>
        <w:gridCol w:w="851"/>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2263"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hint="eastAsia" w:ascii="仿宋_GB2312" w:hAnsi="宋体" w:eastAsia="仿宋_GB2312" w:cs="宋体"/>
                <w:b/>
                <w:bCs/>
                <w:color w:val="000000"/>
                <w:kern w:val="0"/>
                <w:sz w:val="24"/>
                <w:szCs w:val="24"/>
              </w:rPr>
              <w:t>三级指标</w:t>
            </w:r>
          </w:p>
        </w:tc>
        <w:tc>
          <w:tcPr>
            <w:tcW w:w="1560"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hint="eastAsia" w:ascii="仿宋_GB2312" w:hAnsi="宋体" w:eastAsia="仿宋_GB2312" w:cs="宋体"/>
                <w:b/>
                <w:bCs/>
                <w:color w:val="000000"/>
                <w:kern w:val="0"/>
                <w:sz w:val="24"/>
                <w:szCs w:val="24"/>
              </w:rPr>
              <w:t>年度指标值</w:t>
            </w:r>
          </w:p>
        </w:tc>
        <w:tc>
          <w:tcPr>
            <w:tcW w:w="1559"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hint="eastAsia" w:ascii="仿宋_GB2312" w:hAnsi="宋体" w:eastAsia="仿宋_GB2312" w:cs="宋体"/>
                <w:b/>
                <w:bCs/>
                <w:color w:val="000000"/>
                <w:kern w:val="0"/>
                <w:sz w:val="24"/>
                <w:szCs w:val="24"/>
              </w:rPr>
              <w:t>实际完成值</w:t>
            </w:r>
          </w:p>
        </w:tc>
        <w:tc>
          <w:tcPr>
            <w:tcW w:w="992"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分值</w:t>
            </w:r>
          </w:p>
        </w:tc>
        <w:tc>
          <w:tcPr>
            <w:tcW w:w="851"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hint="eastAsia" w:ascii="仿宋_GB2312" w:hAnsi="宋体" w:eastAsia="仿宋_GB2312" w:cs="宋体"/>
                <w:b/>
                <w:bCs/>
                <w:color w:val="000000"/>
                <w:kern w:val="0"/>
                <w:sz w:val="24"/>
                <w:szCs w:val="24"/>
              </w:rPr>
              <w:t>得分</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hint="eastAsia" w:ascii="仿宋_GB2312" w:hAnsi="宋体" w:eastAsia="仿宋_GB2312" w:cs="宋体"/>
                <w:b/>
                <w:bCs/>
                <w:color w:val="000000"/>
                <w:kern w:val="0"/>
                <w:sz w:val="24"/>
                <w:szCs w:val="24"/>
              </w:rPr>
              <w:t>得分率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63"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hint="eastAsia" w:ascii="仿宋_GB2312" w:hAnsi="宋体" w:eastAsia="仿宋_GB2312" w:cs="宋体"/>
                <w:color w:val="000000"/>
                <w:kern w:val="0"/>
                <w:sz w:val="24"/>
                <w:szCs w:val="24"/>
              </w:rPr>
              <w:t>会议参会人数</w:t>
            </w:r>
          </w:p>
        </w:tc>
        <w:tc>
          <w:tcPr>
            <w:tcW w:w="1560"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hint="eastAsia" w:ascii="仿宋_GB2312" w:hAnsi="宋体" w:eastAsia="仿宋_GB2312" w:cs="宋体"/>
                <w:color w:val="000000"/>
                <w:kern w:val="0"/>
                <w:sz w:val="24"/>
                <w:szCs w:val="24"/>
              </w:rPr>
              <w:t>≥260</w:t>
            </w:r>
            <w:r>
              <w:rPr>
                <w:rFonts w:ascii="仿宋_GB2312" w:hAnsi="宋体" w:eastAsia="仿宋_GB2312" w:cs="宋体"/>
                <w:color w:val="000000"/>
                <w:kern w:val="0"/>
                <w:sz w:val="24"/>
                <w:szCs w:val="24"/>
              </w:rPr>
              <w:t>人</w:t>
            </w:r>
          </w:p>
        </w:tc>
        <w:tc>
          <w:tcPr>
            <w:tcW w:w="1559"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hint="eastAsia" w:ascii="仿宋_GB2312" w:hAnsi="宋体" w:eastAsia="仿宋_GB2312" w:cs="宋体"/>
                <w:color w:val="000000"/>
                <w:kern w:val="0"/>
                <w:sz w:val="24"/>
                <w:szCs w:val="24"/>
              </w:rPr>
              <w:t>280</w:t>
            </w:r>
            <w:r>
              <w:rPr>
                <w:rFonts w:ascii="仿宋_GB2312" w:hAnsi="宋体" w:eastAsia="仿宋_GB2312" w:cs="宋体"/>
                <w:color w:val="000000"/>
                <w:kern w:val="0"/>
                <w:sz w:val="24"/>
                <w:szCs w:val="24"/>
              </w:rPr>
              <w:t>人</w:t>
            </w:r>
          </w:p>
        </w:tc>
        <w:tc>
          <w:tcPr>
            <w:tcW w:w="992"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3.12</w:t>
            </w:r>
          </w:p>
        </w:tc>
        <w:tc>
          <w:tcPr>
            <w:tcW w:w="851"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hint="eastAsia" w:ascii="仿宋_GB2312" w:hAnsi="宋体" w:eastAsia="仿宋_GB2312" w:cs="宋体"/>
                <w:color w:val="000000"/>
                <w:kern w:val="0"/>
                <w:sz w:val="24"/>
                <w:szCs w:val="24"/>
              </w:rPr>
              <w:t>3.12</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hint="eastAsia" w:ascii="仿宋_GB2312" w:hAnsi="宋体" w:eastAsia="仿宋_GB2312" w:cs="宋体"/>
                <w:color w:val="000000"/>
                <w:kern w:val="0"/>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63"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举办会议次数（次)</w:t>
            </w:r>
          </w:p>
        </w:tc>
        <w:tc>
          <w:tcPr>
            <w:tcW w:w="1560"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w:t>
            </w:r>
            <w:r>
              <w:rPr>
                <w:rFonts w:ascii="仿宋_GB2312" w:hAnsi="宋体" w:eastAsia="仿宋_GB2312" w:cs="宋体"/>
                <w:color w:val="000000"/>
                <w:kern w:val="0"/>
                <w:sz w:val="24"/>
                <w:szCs w:val="24"/>
              </w:rPr>
              <w:t>3</w:t>
            </w:r>
            <w:r>
              <w:rPr>
                <w:rFonts w:hint="eastAsia" w:ascii="仿宋_GB2312" w:hAnsi="宋体" w:eastAsia="仿宋_GB2312" w:cs="宋体"/>
                <w:color w:val="000000"/>
                <w:kern w:val="0"/>
                <w:sz w:val="24"/>
                <w:szCs w:val="24"/>
              </w:rPr>
              <w:t>次</w:t>
            </w:r>
          </w:p>
        </w:tc>
        <w:tc>
          <w:tcPr>
            <w:tcW w:w="1559"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hAnsi="宋体" w:eastAsia="仿宋_GB2312" w:cs="宋体"/>
                <w:color w:val="000000"/>
                <w:kern w:val="0"/>
                <w:sz w:val="24"/>
                <w:szCs w:val="24"/>
              </w:rPr>
            </w:pPr>
            <w:r>
              <w:rPr>
                <w:rFonts w:ascii="仿宋_GB2312" w:hAnsi="宋体" w:eastAsia="仿宋_GB2312" w:cs="宋体"/>
                <w:color w:val="000000"/>
                <w:kern w:val="0"/>
                <w:sz w:val="24"/>
                <w:szCs w:val="24"/>
              </w:rPr>
              <w:t>3</w:t>
            </w:r>
            <w:r>
              <w:rPr>
                <w:rFonts w:hint="eastAsia" w:ascii="仿宋_GB2312" w:hAnsi="宋体" w:eastAsia="仿宋_GB2312" w:cs="宋体"/>
                <w:color w:val="000000"/>
                <w:kern w:val="0"/>
                <w:sz w:val="24"/>
                <w:szCs w:val="24"/>
              </w:rPr>
              <w:t>次</w:t>
            </w:r>
          </w:p>
        </w:tc>
        <w:tc>
          <w:tcPr>
            <w:tcW w:w="992"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3.12</w:t>
            </w:r>
          </w:p>
        </w:tc>
        <w:tc>
          <w:tcPr>
            <w:tcW w:w="851"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hint="eastAsia" w:ascii="仿宋_GB2312" w:hAnsi="宋体" w:eastAsia="仿宋_GB2312" w:cs="宋体"/>
                <w:color w:val="000000"/>
                <w:kern w:val="0"/>
                <w:sz w:val="24"/>
                <w:szCs w:val="24"/>
              </w:rPr>
              <w:t>3.12</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w:t>
            </w:r>
            <w:r>
              <w:rPr>
                <w:rFonts w:ascii="仿宋_GB2312" w:hAnsi="宋体" w:eastAsia="仿宋_GB2312" w:cs="宋体"/>
                <w:color w:val="000000"/>
                <w:kern w:val="0"/>
                <w:sz w:val="24"/>
                <w:szCs w:val="24"/>
              </w:rPr>
              <w:t>00</w:t>
            </w:r>
            <w:r>
              <w:rPr>
                <w:rFonts w:hint="eastAsia" w:ascii="仿宋_GB2312" w:hAnsi="宋体" w:eastAsia="仿宋_GB2312" w:cs="宋体"/>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63"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开展调研次数</w:t>
            </w:r>
          </w:p>
        </w:tc>
        <w:tc>
          <w:tcPr>
            <w:tcW w:w="1560"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≥5次</w:t>
            </w:r>
          </w:p>
        </w:tc>
        <w:tc>
          <w:tcPr>
            <w:tcW w:w="1559"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15次</w:t>
            </w:r>
          </w:p>
        </w:tc>
        <w:tc>
          <w:tcPr>
            <w:tcW w:w="992"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3.12</w:t>
            </w:r>
          </w:p>
        </w:tc>
        <w:tc>
          <w:tcPr>
            <w:tcW w:w="851"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hint="eastAsia" w:ascii="仿宋_GB2312" w:eastAsia="仿宋_GB2312"/>
                <w:sz w:val="24"/>
                <w:szCs w:val="24"/>
              </w:rPr>
              <w:t>1.69</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63"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开展社会服务及下乡帮扶次数</w:t>
            </w:r>
          </w:p>
        </w:tc>
        <w:tc>
          <w:tcPr>
            <w:tcW w:w="1560"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≥4次</w:t>
            </w:r>
          </w:p>
        </w:tc>
        <w:tc>
          <w:tcPr>
            <w:tcW w:w="1559"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7次</w:t>
            </w:r>
          </w:p>
        </w:tc>
        <w:tc>
          <w:tcPr>
            <w:tcW w:w="992"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3.12</w:t>
            </w:r>
          </w:p>
        </w:tc>
        <w:tc>
          <w:tcPr>
            <w:tcW w:w="851"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hint="eastAsia" w:ascii="仿宋_GB2312" w:eastAsia="仿宋_GB2312"/>
                <w:sz w:val="24"/>
                <w:szCs w:val="24"/>
              </w:rPr>
              <w:t>2.74</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87.82%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63"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开展脱贫攻坚、民主监督次数</w:t>
            </w:r>
          </w:p>
        </w:tc>
        <w:tc>
          <w:tcPr>
            <w:tcW w:w="1560"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≥4次</w:t>
            </w:r>
          </w:p>
        </w:tc>
        <w:tc>
          <w:tcPr>
            <w:tcW w:w="1559"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4次</w:t>
            </w:r>
          </w:p>
        </w:tc>
        <w:tc>
          <w:tcPr>
            <w:tcW w:w="992"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3.12</w:t>
            </w:r>
          </w:p>
        </w:tc>
        <w:tc>
          <w:tcPr>
            <w:tcW w:w="851"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hint="eastAsia" w:ascii="仿宋_GB2312" w:eastAsia="仿宋_GB2312"/>
                <w:sz w:val="24"/>
                <w:szCs w:val="24"/>
              </w:rPr>
              <w:t>3.12</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w:t>
            </w:r>
            <w:r>
              <w:rPr>
                <w:rFonts w:ascii="仿宋_GB2312" w:hAnsi="宋体" w:eastAsia="仿宋_GB2312" w:cs="宋体"/>
                <w:color w:val="000000"/>
                <w:kern w:val="0"/>
                <w:sz w:val="24"/>
                <w:szCs w:val="24"/>
              </w:rPr>
              <w:t>00</w:t>
            </w:r>
            <w:r>
              <w:rPr>
                <w:rFonts w:hint="eastAsia" w:ascii="仿宋_GB2312" w:hAnsi="宋体" w:eastAsia="仿宋_GB2312" w:cs="宋体"/>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63"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培训次数（次）</w:t>
            </w:r>
          </w:p>
        </w:tc>
        <w:tc>
          <w:tcPr>
            <w:tcW w:w="1560"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≥2次</w:t>
            </w:r>
          </w:p>
        </w:tc>
        <w:tc>
          <w:tcPr>
            <w:tcW w:w="1559"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1次</w:t>
            </w:r>
          </w:p>
        </w:tc>
        <w:tc>
          <w:tcPr>
            <w:tcW w:w="992"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3.2</w:t>
            </w:r>
          </w:p>
        </w:tc>
        <w:tc>
          <w:tcPr>
            <w:tcW w:w="851"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hint="eastAsia" w:ascii="仿宋_GB2312" w:eastAsia="仿宋_GB2312"/>
                <w:sz w:val="24"/>
                <w:szCs w:val="24"/>
              </w:rPr>
              <w:t>1.6</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63"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人均培训时长</w:t>
            </w:r>
          </w:p>
        </w:tc>
        <w:tc>
          <w:tcPr>
            <w:tcW w:w="1560"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w:t>
            </w:r>
            <w:r>
              <w:rPr>
                <w:rFonts w:ascii="仿宋_GB2312" w:hAnsi="宋体" w:eastAsia="仿宋_GB2312" w:cs="宋体"/>
                <w:color w:val="000000"/>
                <w:kern w:val="0"/>
                <w:sz w:val="24"/>
                <w:szCs w:val="24"/>
              </w:rPr>
              <w:t>5次</w:t>
            </w:r>
          </w:p>
        </w:tc>
        <w:tc>
          <w:tcPr>
            <w:tcW w:w="1559"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7天</w:t>
            </w:r>
          </w:p>
        </w:tc>
        <w:tc>
          <w:tcPr>
            <w:tcW w:w="992"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3.12</w:t>
            </w:r>
          </w:p>
        </w:tc>
        <w:tc>
          <w:tcPr>
            <w:tcW w:w="851"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hint="eastAsia" w:ascii="仿宋_GB2312" w:eastAsia="仿宋_GB2312"/>
                <w:sz w:val="24"/>
                <w:szCs w:val="24"/>
              </w:rPr>
              <w:t>3.04</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97.44%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82" w:type="dxa"/>
            <w:gridSpan w:val="3"/>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b/>
                <w:bCs/>
                <w:sz w:val="24"/>
                <w:szCs w:val="24"/>
              </w:rPr>
            </w:pPr>
            <w:r>
              <w:rPr>
                <w:rFonts w:hint="eastAsia" w:ascii="仿宋_GB2312" w:hAnsi="宋体" w:eastAsia="仿宋_GB2312" w:cs="宋体"/>
                <w:b/>
                <w:bCs/>
                <w:color w:val="000000"/>
                <w:kern w:val="0"/>
                <w:sz w:val="24"/>
                <w:szCs w:val="24"/>
              </w:rPr>
              <w:t>合计</w:t>
            </w:r>
          </w:p>
        </w:tc>
        <w:tc>
          <w:tcPr>
            <w:tcW w:w="992"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21.92</w:t>
            </w:r>
          </w:p>
        </w:tc>
        <w:tc>
          <w:tcPr>
            <w:tcW w:w="851"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b/>
                <w:bCs/>
                <w:sz w:val="24"/>
                <w:szCs w:val="24"/>
              </w:rPr>
            </w:pPr>
            <w:r>
              <w:rPr>
                <w:rFonts w:hint="eastAsia" w:ascii="仿宋_GB2312" w:eastAsia="仿宋_GB2312"/>
                <w:b/>
                <w:bCs/>
                <w:sz w:val="24"/>
                <w:szCs w:val="24"/>
              </w:rPr>
              <w:t>18.43</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b/>
                <w:bCs/>
                <w:sz w:val="24"/>
                <w:szCs w:val="24"/>
              </w:rPr>
            </w:pPr>
            <w:r>
              <w:rPr>
                <w:rFonts w:hint="eastAsia" w:ascii="仿宋_GB2312" w:eastAsia="仿宋_GB2312"/>
                <w:b/>
                <w:bCs/>
                <w:sz w:val="24"/>
                <w:szCs w:val="24"/>
              </w:rPr>
              <w:t>84.08%</w:t>
            </w:r>
          </w:p>
        </w:tc>
      </w:tr>
    </w:tbl>
    <w:p>
      <w:pPr>
        <w:ind w:firstLine="562"/>
        <w:rPr>
          <w:szCs w:val="28"/>
        </w:rPr>
      </w:pPr>
      <w:r>
        <w:rPr>
          <w:rFonts w:hint="eastAsia"/>
          <w:b/>
          <w:bCs/>
          <w:szCs w:val="28"/>
        </w:rPr>
        <w:t>会议参会人数：</w:t>
      </w:r>
      <w:r>
        <w:rPr>
          <w:rFonts w:hint="eastAsia"/>
          <w:szCs w:val="28"/>
        </w:rPr>
        <w:t>2</w:t>
      </w:r>
      <w:r>
        <w:rPr>
          <w:szCs w:val="28"/>
        </w:rPr>
        <w:t>02</w:t>
      </w:r>
      <w:r>
        <w:rPr>
          <w:rFonts w:hint="eastAsia"/>
          <w:szCs w:val="28"/>
        </w:rPr>
        <w:t>1年，根据民革中央和省委省政府文件要求，我单位2021年会议按计划召开，参会人数达到280人。指标权重3.12分，自评得分3.12分，得分率100%。</w:t>
      </w:r>
    </w:p>
    <w:p>
      <w:pPr>
        <w:ind w:firstLine="562"/>
      </w:pPr>
      <w:r>
        <w:rPr>
          <w:rFonts w:hint="eastAsia" w:hAnsi="宋体"/>
          <w:b/>
          <w:bCs/>
          <w:szCs w:val="28"/>
        </w:rPr>
        <w:t>举办会议次数：</w:t>
      </w:r>
      <w:r>
        <w:rPr>
          <w:rFonts w:hint="eastAsia"/>
        </w:rPr>
        <w:t>2021年，民革甘肃省十二届四次全委（扩大）会议、全省“组织建设年”工作总结大会暨“作风建设年”工作推进会、全省参政议政工作会议暨各专门委员会工作会议3次会议如期召开。</w:t>
      </w:r>
      <w:r>
        <w:rPr>
          <w:rFonts w:hint="eastAsia"/>
          <w:szCs w:val="28"/>
        </w:rPr>
        <w:t>指标权重3.12分，自评得分3.12分，得分率</w:t>
      </w:r>
      <w:r>
        <w:rPr>
          <w:szCs w:val="28"/>
        </w:rPr>
        <w:t>100</w:t>
      </w:r>
      <w:r>
        <w:rPr>
          <w:rFonts w:hint="eastAsia"/>
          <w:szCs w:val="28"/>
        </w:rPr>
        <w:t>%。</w:t>
      </w:r>
    </w:p>
    <w:p>
      <w:pPr>
        <w:ind w:firstLine="562"/>
        <w:rPr>
          <w:rFonts w:hAnsi="宋体"/>
          <w:b/>
          <w:bCs/>
          <w:szCs w:val="28"/>
        </w:rPr>
      </w:pPr>
      <w:r>
        <w:rPr>
          <w:rFonts w:hint="eastAsia" w:hAnsi="宋体"/>
          <w:b/>
          <w:bCs/>
          <w:szCs w:val="28"/>
        </w:rPr>
        <w:t>开展调研次数：</w:t>
      </w:r>
      <w:r>
        <w:rPr>
          <w:rFonts w:hint="eastAsia" w:hAnsi="宋体"/>
          <w:szCs w:val="28"/>
        </w:rPr>
        <w:t>开展各类各项调研15次，包括全年深入省内各地开展专题调研7次，形成调研成果8篇；围绕年度政党协商议题，结合民革参政议政的优势领域，寻找调研切入口，围绕兰州新区发展、做大做特做优甘肃产业、农业与旅游业融合发展、推进向西开放等课题开展专项调研6次；就在西部陆海新通道实施铁路运输“量价捆绑”政策研究、祁连山国家公园甘肃省片区体制试点工作开展调研2次。指标权重3.12分，自评得分1.69分，得分率54.17%，</w:t>
      </w:r>
      <w:r>
        <w:rPr>
          <w:rFonts w:hint="eastAsia"/>
        </w:rPr>
        <w:t>因实际完成值超出目标值的1</w:t>
      </w:r>
      <w:r>
        <w:t>30</w:t>
      </w:r>
      <w:r>
        <w:rPr>
          <w:rFonts w:hint="eastAsia"/>
        </w:rPr>
        <w:t>%，得分低于指标分值</w:t>
      </w:r>
      <w:r>
        <w:rPr>
          <w:rFonts w:hint="eastAsia" w:hAnsi="宋体"/>
          <w:szCs w:val="28"/>
        </w:rPr>
        <w:t>。</w:t>
      </w:r>
    </w:p>
    <w:p>
      <w:pPr>
        <w:ind w:firstLine="562"/>
        <w:rPr>
          <w:rFonts w:hAnsi="宋体"/>
          <w:szCs w:val="28"/>
        </w:rPr>
      </w:pPr>
      <w:r>
        <w:rPr>
          <w:rFonts w:hint="eastAsia" w:hAnsi="宋体"/>
          <w:b/>
          <w:bCs/>
          <w:szCs w:val="28"/>
        </w:rPr>
        <w:t>开展社会服务及下乡帮扶次数：</w:t>
      </w:r>
      <w:r>
        <w:rPr>
          <w:rFonts w:hint="eastAsia"/>
        </w:rPr>
        <w:t>2</w:t>
      </w:r>
      <w:r>
        <w:t>02</w:t>
      </w:r>
      <w:r>
        <w:rPr>
          <w:rFonts w:hint="eastAsia"/>
        </w:rPr>
        <w:t>1年，我单位参与对口帮扶及支持消费扶贫工作2项，积极开展社会服务活动5项</w:t>
      </w:r>
      <w:r>
        <w:rPr>
          <w:rFonts w:hint="eastAsia" w:hAnsi="宋体"/>
          <w:szCs w:val="28"/>
        </w:rPr>
        <w:t>。指标权重3.12分，自评得分2.74分，得分率87.82%。</w:t>
      </w:r>
      <w:r>
        <w:rPr>
          <w:rFonts w:hint="eastAsia"/>
        </w:rPr>
        <w:t>因实际完成值超出目标值的1</w:t>
      </w:r>
      <w:r>
        <w:t>30</w:t>
      </w:r>
      <w:r>
        <w:rPr>
          <w:rFonts w:hint="eastAsia"/>
        </w:rPr>
        <w:t>%，得分低于指标分值</w:t>
      </w:r>
      <w:r>
        <w:rPr>
          <w:rFonts w:hint="eastAsia" w:hAnsi="宋体"/>
          <w:szCs w:val="28"/>
        </w:rPr>
        <w:t>。</w:t>
      </w:r>
    </w:p>
    <w:p>
      <w:pPr>
        <w:ind w:firstLine="562"/>
        <w:rPr>
          <w:rFonts w:hAnsi="宋体"/>
          <w:b/>
          <w:bCs/>
          <w:szCs w:val="28"/>
        </w:rPr>
      </w:pPr>
      <w:r>
        <w:rPr>
          <w:rFonts w:hint="eastAsia" w:hAnsi="宋体"/>
          <w:b/>
          <w:bCs/>
          <w:szCs w:val="28"/>
        </w:rPr>
        <w:t>开展脱贫攻坚、民主监督次数：</w:t>
      </w:r>
      <w:r>
        <w:rPr>
          <w:rFonts w:hint="eastAsia"/>
        </w:rPr>
        <w:t>2021年，省委会主要领导带队分别赴省农业农村厅和兰州市开展监督性调研4次并召开座谈会，形成专项民主监督报告和专题协商座谈会发言材料，共提出意见建议18条</w:t>
      </w:r>
      <w:r>
        <w:rPr>
          <w:rFonts w:hint="eastAsia" w:hAnsi="仿宋"/>
          <w:szCs w:val="32"/>
        </w:rPr>
        <w:t>。指标权重3.12分，自评得分3.12分，得分率1</w:t>
      </w:r>
      <w:r>
        <w:rPr>
          <w:rFonts w:hAnsi="仿宋"/>
          <w:szCs w:val="32"/>
        </w:rPr>
        <w:t>00</w:t>
      </w:r>
      <w:r>
        <w:rPr>
          <w:rFonts w:hint="eastAsia" w:hAnsi="仿宋"/>
          <w:szCs w:val="32"/>
        </w:rPr>
        <w:t>%。</w:t>
      </w:r>
    </w:p>
    <w:p>
      <w:pPr>
        <w:ind w:firstLine="562"/>
      </w:pPr>
      <w:r>
        <w:rPr>
          <w:rFonts w:hint="eastAsia" w:hAnsi="宋体"/>
          <w:b/>
          <w:bCs/>
          <w:szCs w:val="28"/>
        </w:rPr>
        <w:t>培训次数：</w:t>
      </w:r>
      <w:r>
        <w:rPr>
          <w:rFonts w:hint="eastAsia" w:hAnsi="宋体"/>
          <w:szCs w:val="28"/>
        </w:rPr>
        <w:t>因疫情原因，</w:t>
      </w:r>
      <w:r>
        <w:rPr>
          <w:rFonts w:hint="eastAsia"/>
        </w:rPr>
        <w:t>2021年我单位组织培训1次，帮助积石山县铺川乡落实肉鸽养殖技术培训，未达到目标值2次。</w:t>
      </w:r>
      <w:r>
        <w:rPr>
          <w:rFonts w:hint="eastAsia" w:hAnsi="仿宋"/>
          <w:szCs w:val="32"/>
        </w:rPr>
        <w:t>指标权重3.2分，自评得分1.6分，得分率50%。</w:t>
      </w:r>
    </w:p>
    <w:p>
      <w:pPr>
        <w:ind w:firstLine="562"/>
        <w:rPr>
          <w:rFonts w:hAnsi="宋体"/>
          <w:b/>
          <w:bCs/>
          <w:szCs w:val="28"/>
        </w:rPr>
      </w:pPr>
      <w:r>
        <w:rPr>
          <w:rFonts w:hint="eastAsia" w:hAnsi="宋体"/>
          <w:b/>
          <w:bCs/>
          <w:szCs w:val="28"/>
        </w:rPr>
        <w:t>人均培训时长：</w:t>
      </w:r>
      <w:r>
        <w:t>202</w:t>
      </w:r>
      <w:r>
        <w:rPr>
          <w:rFonts w:hint="eastAsia"/>
        </w:rPr>
        <w:t>1</w:t>
      </w:r>
      <w:r>
        <w:t>年，</w:t>
      </w:r>
      <w:r>
        <w:rPr>
          <w:rFonts w:hint="eastAsia"/>
        </w:rPr>
        <w:t>我单位组织培训1次，人均培训时长7天。指标权重3.12分，自评得分3.04分，得分率97.44%，已达到目标值。因实际完成值超出目标值的1</w:t>
      </w:r>
      <w:r>
        <w:t>30</w:t>
      </w:r>
      <w:r>
        <w:rPr>
          <w:rFonts w:hint="eastAsia"/>
        </w:rPr>
        <w:t>%，得分低于指标分值</w:t>
      </w:r>
      <w:r>
        <w:rPr>
          <w:rFonts w:hint="eastAsia" w:hAnsi="宋体"/>
          <w:szCs w:val="28"/>
        </w:rPr>
        <w:t>。</w:t>
      </w:r>
    </w:p>
    <w:p>
      <w:pPr>
        <w:ind w:firstLine="562"/>
        <w:rPr>
          <w:b/>
          <w:bCs/>
          <w:szCs w:val="28"/>
        </w:rPr>
      </w:pPr>
      <w:r>
        <w:rPr>
          <w:rFonts w:hint="eastAsia"/>
          <w:b/>
          <w:bCs/>
          <w:szCs w:val="28"/>
        </w:rPr>
        <w:t>②产出质量：</w:t>
      </w:r>
    </w:p>
    <w:p>
      <w:pPr>
        <w:ind w:firstLine="560"/>
        <w:rPr>
          <w:rFonts w:hAnsi="宋体"/>
          <w:szCs w:val="28"/>
        </w:rPr>
      </w:pPr>
      <w:r>
        <w:rPr>
          <w:rFonts w:hint="eastAsia"/>
        </w:rPr>
        <w:t>产出质量指标下设4个三级指标，</w:t>
      </w:r>
      <w:r>
        <w:rPr>
          <w:rFonts w:hint="eastAsia" w:hAnsi="宋体"/>
          <w:szCs w:val="28"/>
        </w:rPr>
        <w:t>指标权重合计12.48分，自评得分12.48分，得分率为</w:t>
      </w:r>
      <w:r>
        <w:rPr>
          <w:rFonts w:hAnsi="宋体"/>
          <w:szCs w:val="28"/>
        </w:rPr>
        <w:t>100</w:t>
      </w:r>
      <w:r>
        <w:rPr>
          <w:rFonts w:hint="eastAsia" w:hAnsi="宋体"/>
          <w:szCs w:val="28"/>
        </w:rPr>
        <w:t>%。</w:t>
      </w:r>
    </w:p>
    <w:tbl>
      <w:tblPr>
        <w:tblStyle w:val="18"/>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18"/>
        <w:gridCol w:w="1188"/>
        <w:gridCol w:w="1559"/>
        <w:gridCol w:w="851"/>
        <w:gridCol w:w="850"/>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2918"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hint="eastAsia" w:ascii="仿宋_GB2312" w:hAnsi="宋体" w:eastAsia="仿宋_GB2312" w:cs="宋体"/>
                <w:b/>
                <w:bCs/>
                <w:color w:val="000000"/>
                <w:kern w:val="0"/>
                <w:sz w:val="24"/>
                <w:szCs w:val="24"/>
              </w:rPr>
              <w:t>三级指标</w:t>
            </w:r>
          </w:p>
        </w:tc>
        <w:tc>
          <w:tcPr>
            <w:tcW w:w="1188"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hint="eastAsia" w:ascii="仿宋_GB2312" w:hAnsi="宋体" w:eastAsia="仿宋_GB2312" w:cs="宋体"/>
                <w:b/>
                <w:bCs/>
                <w:color w:val="000000"/>
                <w:kern w:val="0"/>
                <w:sz w:val="24"/>
                <w:szCs w:val="24"/>
              </w:rPr>
              <w:t>年度指标值</w:t>
            </w:r>
          </w:p>
        </w:tc>
        <w:tc>
          <w:tcPr>
            <w:tcW w:w="1559"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hint="eastAsia" w:ascii="仿宋_GB2312" w:hAnsi="宋体" w:eastAsia="仿宋_GB2312" w:cs="宋体"/>
                <w:b/>
                <w:bCs/>
                <w:color w:val="000000"/>
                <w:kern w:val="0"/>
                <w:sz w:val="24"/>
                <w:szCs w:val="24"/>
              </w:rPr>
              <w:t>实际完成值</w:t>
            </w:r>
          </w:p>
        </w:tc>
        <w:tc>
          <w:tcPr>
            <w:tcW w:w="851"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分值</w:t>
            </w:r>
          </w:p>
        </w:tc>
        <w:tc>
          <w:tcPr>
            <w:tcW w:w="850"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hint="eastAsia" w:ascii="仿宋_GB2312" w:hAnsi="宋体" w:eastAsia="仿宋_GB2312" w:cs="宋体"/>
                <w:b/>
                <w:bCs/>
                <w:color w:val="000000"/>
                <w:kern w:val="0"/>
                <w:sz w:val="24"/>
                <w:szCs w:val="24"/>
              </w:rPr>
              <w:t>得分</w:t>
            </w:r>
          </w:p>
        </w:tc>
        <w:tc>
          <w:tcPr>
            <w:tcW w:w="993"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hint="eastAsia" w:ascii="仿宋_GB2312" w:hAnsi="宋体" w:eastAsia="仿宋_GB2312" w:cs="宋体"/>
                <w:b/>
                <w:bCs/>
                <w:color w:val="000000"/>
                <w:kern w:val="0"/>
                <w:sz w:val="24"/>
                <w:szCs w:val="24"/>
              </w:rPr>
              <w:t>得分率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8"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hint="eastAsia" w:ascii="仿宋_GB2312" w:hAnsi="宋体" w:eastAsia="仿宋_GB2312" w:cs="宋体"/>
                <w:color w:val="000000"/>
                <w:kern w:val="0"/>
                <w:sz w:val="24"/>
                <w:szCs w:val="24"/>
              </w:rPr>
              <w:t>调研成果形成率</w:t>
            </w:r>
          </w:p>
        </w:tc>
        <w:tc>
          <w:tcPr>
            <w:tcW w:w="1188"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hint="eastAsia" w:ascii="仿宋_GB2312" w:hAnsi="宋体" w:eastAsia="仿宋_GB2312" w:cs="宋体"/>
                <w:color w:val="000000"/>
                <w:kern w:val="0"/>
                <w:sz w:val="24"/>
                <w:szCs w:val="24"/>
              </w:rPr>
              <w:t>≥</w:t>
            </w:r>
            <w:r>
              <w:rPr>
                <w:rFonts w:ascii="仿宋_GB2312" w:hAnsi="宋体" w:eastAsia="仿宋_GB2312" w:cs="宋体"/>
                <w:color w:val="000000"/>
                <w:kern w:val="0"/>
                <w:sz w:val="24"/>
                <w:szCs w:val="24"/>
              </w:rPr>
              <w:t>90%</w:t>
            </w:r>
          </w:p>
        </w:tc>
        <w:tc>
          <w:tcPr>
            <w:tcW w:w="1559"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hint="eastAsia" w:ascii="仿宋_GB2312" w:hAnsi="宋体" w:eastAsia="仿宋_GB2312" w:cs="宋体"/>
                <w:color w:val="000000"/>
                <w:kern w:val="0"/>
                <w:sz w:val="24"/>
                <w:szCs w:val="24"/>
              </w:rPr>
              <w:t>95</w:t>
            </w:r>
            <w:r>
              <w:rPr>
                <w:rFonts w:ascii="仿宋_GB2312" w:hAnsi="宋体" w:eastAsia="仿宋_GB2312" w:cs="宋体"/>
                <w:color w:val="000000"/>
                <w:kern w:val="0"/>
                <w:sz w:val="24"/>
                <w:szCs w:val="24"/>
              </w:rPr>
              <w:t>%</w:t>
            </w:r>
          </w:p>
        </w:tc>
        <w:tc>
          <w:tcPr>
            <w:tcW w:w="851"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3.12</w:t>
            </w:r>
          </w:p>
        </w:tc>
        <w:tc>
          <w:tcPr>
            <w:tcW w:w="850"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hint="eastAsia" w:ascii="仿宋_GB2312" w:eastAsia="仿宋_GB2312"/>
                <w:sz w:val="24"/>
                <w:szCs w:val="24"/>
              </w:rPr>
              <w:t>3.12</w:t>
            </w:r>
          </w:p>
        </w:tc>
        <w:tc>
          <w:tcPr>
            <w:tcW w:w="993"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ascii="仿宋_GB2312" w:hAnsi="宋体" w:eastAsia="仿宋_GB2312" w:cs="宋体"/>
                <w:color w:val="000000"/>
                <w:kern w:val="0"/>
                <w:sz w:val="24"/>
                <w:szCs w:val="24"/>
              </w:rPr>
              <w:t>100</w:t>
            </w:r>
            <w:r>
              <w:rPr>
                <w:rFonts w:hint="eastAsia" w:ascii="仿宋_GB2312" w:hAnsi="宋体" w:eastAsia="仿宋_GB2312" w:cs="宋体"/>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8"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会议成果应用率</w:t>
            </w:r>
          </w:p>
        </w:tc>
        <w:tc>
          <w:tcPr>
            <w:tcW w:w="1188"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w:t>
            </w:r>
            <w:r>
              <w:rPr>
                <w:rFonts w:ascii="仿宋_GB2312" w:hAnsi="宋体" w:eastAsia="仿宋_GB2312" w:cs="宋体"/>
                <w:color w:val="000000"/>
                <w:kern w:val="0"/>
                <w:sz w:val="24"/>
                <w:szCs w:val="24"/>
              </w:rPr>
              <w:t>90%</w:t>
            </w:r>
          </w:p>
        </w:tc>
        <w:tc>
          <w:tcPr>
            <w:tcW w:w="1559"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95</w:t>
            </w:r>
            <w:r>
              <w:rPr>
                <w:rFonts w:ascii="仿宋_GB2312" w:hAnsi="宋体" w:eastAsia="仿宋_GB2312" w:cs="宋体"/>
                <w:color w:val="000000"/>
                <w:kern w:val="0"/>
                <w:sz w:val="24"/>
                <w:szCs w:val="24"/>
              </w:rPr>
              <w:t>%</w:t>
            </w:r>
          </w:p>
        </w:tc>
        <w:tc>
          <w:tcPr>
            <w:tcW w:w="851"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3.12</w:t>
            </w:r>
          </w:p>
        </w:tc>
        <w:tc>
          <w:tcPr>
            <w:tcW w:w="850"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hint="eastAsia" w:ascii="仿宋_GB2312" w:eastAsia="仿宋_GB2312"/>
                <w:sz w:val="24"/>
                <w:szCs w:val="24"/>
              </w:rPr>
              <w:t>3.12</w:t>
            </w:r>
          </w:p>
        </w:tc>
        <w:tc>
          <w:tcPr>
            <w:tcW w:w="993"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hAnsi="宋体" w:eastAsia="仿宋_GB2312" w:cs="宋体"/>
                <w:color w:val="000000"/>
                <w:kern w:val="0"/>
                <w:sz w:val="24"/>
                <w:szCs w:val="24"/>
              </w:rPr>
            </w:pPr>
            <w:r>
              <w:rPr>
                <w:rFonts w:ascii="仿宋_GB2312" w:hAnsi="宋体" w:eastAsia="仿宋_GB2312" w:cs="宋体"/>
                <w:color w:val="000000"/>
                <w:kern w:val="0"/>
                <w:sz w:val="24"/>
                <w:szCs w:val="24"/>
              </w:rPr>
              <w:t>100</w:t>
            </w:r>
            <w:r>
              <w:rPr>
                <w:rFonts w:hint="eastAsia" w:ascii="仿宋_GB2312" w:hAnsi="宋体" w:eastAsia="仿宋_GB2312" w:cs="宋体"/>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8"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开展民主监督、脱贫攻坚工作完成率</w:t>
            </w:r>
          </w:p>
        </w:tc>
        <w:tc>
          <w:tcPr>
            <w:tcW w:w="1188"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w:t>
            </w:r>
            <w:r>
              <w:rPr>
                <w:rFonts w:ascii="仿宋_GB2312" w:hAnsi="宋体" w:eastAsia="仿宋_GB2312" w:cs="宋体"/>
                <w:color w:val="000000"/>
                <w:kern w:val="0"/>
                <w:sz w:val="24"/>
                <w:szCs w:val="24"/>
              </w:rPr>
              <w:t>95%</w:t>
            </w:r>
          </w:p>
        </w:tc>
        <w:tc>
          <w:tcPr>
            <w:tcW w:w="1559"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95</w:t>
            </w:r>
            <w:r>
              <w:rPr>
                <w:rFonts w:ascii="仿宋_GB2312" w:hAnsi="宋体" w:eastAsia="仿宋_GB2312" w:cs="宋体"/>
                <w:color w:val="000000"/>
                <w:kern w:val="0"/>
                <w:sz w:val="24"/>
                <w:szCs w:val="24"/>
              </w:rPr>
              <w:t>%</w:t>
            </w:r>
          </w:p>
        </w:tc>
        <w:tc>
          <w:tcPr>
            <w:tcW w:w="851"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3.12</w:t>
            </w:r>
          </w:p>
        </w:tc>
        <w:tc>
          <w:tcPr>
            <w:tcW w:w="850"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hint="eastAsia" w:ascii="仿宋_GB2312" w:eastAsia="仿宋_GB2312"/>
                <w:sz w:val="24"/>
                <w:szCs w:val="24"/>
              </w:rPr>
              <w:t>3.12</w:t>
            </w:r>
          </w:p>
        </w:tc>
        <w:tc>
          <w:tcPr>
            <w:tcW w:w="993"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hAnsi="宋体" w:eastAsia="仿宋_GB2312" w:cs="宋体"/>
                <w:color w:val="000000"/>
                <w:kern w:val="0"/>
                <w:sz w:val="24"/>
                <w:szCs w:val="24"/>
              </w:rPr>
            </w:pPr>
            <w:r>
              <w:rPr>
                <w:rFonts w:ascii="仿宋_GB2312" w:hAnsi="宋体" w:eastAsia="仿宋_GB2312" w:cs="宋体"/>
                <w:color w:val="000000"/>
                <w:kern w:val="0"/>
                <w:sz w:val="24"/>
                <w:szCs w:val="24"/>
              </w:rPr>
              <w:t>100</w:t>
            </w:r>
            <w:r>
              <w:rPr>
                <w:rFonts w:hint="eastAsia" w:ascii="仿宋_GB2312" w:hAnsi="宋体" w:eastAsia="仿宋_GB2312" w:cs="宋体"/>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8"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会议出勤率（%）</w:t>
            </w:r>
          </w:p>
        </w:tc>
        <w:tc>
          <w:tcPr>
            <w:tcW w:w="1188"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≥95%</w:t>
            </w:r>
          </w:p>
        </w:tc>
        <w:tc>
          <w:tcPr>
            <w:tcW w:w="1559"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95%</w:t>
            </w:r>
          </w:p>
        </w:tc>
        <w:tc>
          <w:tcPr>
            <w:tcW w:w="851"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3.12</w:t>
            </w:r>
          </w:p>
        </w:tc>
        <w:tc>
          <w:tcPr>
            <w:tcW w:w="850"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hint="eastAsia" w:ascii="仿宋_GB2312" w:eastAsia="仿宋_GB2312"/>
                <w:color w:val="auto"/>
                <w:sz w:val="24"/>
                <w:szCs w:val="24"/>
              </w:rPr>
            </w:pPr>
            <w:r>
              <w:rPr>
                <w:rFonts w:hint="eastAsia" w:ascii="仿宋_GB2312" w:eastAsia="仿宋_GB2312"/>
                <w:color w:val="auto"/>
                <w:sz w:val="24"/>
                <w:szCs w:val="24"/>
              </w:rPr>
              <w:t>3.12</w:t>
            </w:r>
          </w:p>
        </w:tc>
        <w:tc>
          <w:tcPr>
            <w:tcW w:w="993"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1</w:t>
            </w:r>
            <w:r>
              <w:rPr>
                <w:rFonts w:ascii="仿宋_GB2312" w:hAnsi="宋体" w:eastAsia="仿宋_GB2312" w:cs="宋体"/>
                <w:color w:val="auto"/>
                <w:kern w:val="0"/>
                <w:sz w:val="24"/>
                <w:szCs w:val="24"/>
              </w:rPr>
              <w:t>00</w:t>
            </w:r>
            <w:r>
              <w:rPr>
                <w:rFonts w:hint="eastAsia" w:ascii="仿宋_GB2312" w:hAnsi="宋体" w:eastAsia="仿宋_GB2312" w:cs="宋体"/>
                <w:color w:val="auto"/>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18"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开展社会服务及下乡帮扶工作完成率</w:t>
            </w:r>
          </w:p>
        </w:tc>
        <w:tc>
          <w:tcPr>
            <w:tcW w:w="1188"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w:t>
            </w:r>
            <w:r>
              <w:rPr>
                <w:rFonts w:ascii="仿宋_GB2312" w:hAnsi="宋体" w:eastAsia="仿宋_GB2312" w:cs="宋体"/>
                <w:color w:val="000000"/>
                <w:kern w:val="0"/>
                <w:sz w:val="24"/>
                <w:szCs w:val="24"/>
              </w:rPr>
              <w:t>95%</w:t>
            </w:r>
          </w:p>
        </w:tc>
        <w:tc>
          <w:tcPr>
            <w:tcW w:w="1559"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95</w:t>
            </w:r>
            <w:r>
              <w:rPr>
                <w:rFonts w:ascii="仿宋_GB2312" w:hAnsi="宋体" w:eastAsia="仿宋_GB2312" w:cs="宋体"/>
                <w:color w:val="000000"/>
                <w:kern w:val="0"/>
                <w:sz w:val="24"/>
                <w:szCs w:val="24"/>
              </w:rPr>
              <w:t>%</w:t>
            </w:r>
          </w:p>
        </w:tc>
        <w:tc>
          <w:tcPr>
            <w:tcW w:w="851"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3.12</w:t>
            </w:r>
          </w:p>
        </w:tc>
        <w:tc>
          <w:tcPr>
            <w:tcW w:w="850"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hint="eastAsia" w:ascii="仿宋_GB2312" w:eastAsia="仿宋_GB2312"/>
                <w:sz w:val="24"/>
                <w:szCs w:val="24"/>
              </w:rPr>
              <w:t>3.12</w:t>
            </w:r>
          </w:p>
        </w:tc>
        <w:tc>
          <w:tcPr>
            <w:tcW w:w="993"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hAnsi="宋体" w:eastAsia="仿宋_GB2312" w:cs="宋体"/>
                <w:color w:val="000000"/>
                <w:kern w:val="0"/>
                <w:sz w:val="24"/>
                <w:szCs w:val="24"/>
              </w:rPr>
            </w:pPr>
            <w:r>
              <w:rPr>
                <w:rFonts w:ascii="仿宋_GB2312" w:hAnsi="宋体" w:eastAsia="仿宋_GB2312" w:cs="宋体"/>
                <w:color w:val="000000"/>
                <w:kern w:val="0"/>
                <w:sz w:val="24"/>
                <w:szCs w:val="24"/>
              </w:rPr>
              <w:t>100</w:t>
            </w:r>
            <w:r>
              <w:rPr>
                <w:rFonts w:hint="eastAsia" w:ascii="仿宋_GB2312" w:hAnsi="宋体" w:eastAsia="仿宋_GB2312" w:cs="宋体"/>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65" w:type="dxa"/>
            <w:gridSpan w:val="3"/>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b/>
                <w:bCs/>
                <w:sz w:val="24"/>
                <w:szCs w:val="24"/>
              </w:rPr>
            </w:pPr>
            <w:r>
              <w:rPr>
                <w:rFonts w:hint="eastAsia" w:ascii="仿宋_GB2312" w:hAnsi="宋体" w:eastAsia="仿宋_GB2312" w:cs="宋体"/>
                <w:b/>
                <w:bCs/>
                <w:color w:val="000000"/>
                <w:kern w:val="0"/>
                <w:sz w:val="24"/>
                <w:szCs w:val="24"/>
              </w:rPr>
              <w:t>合计</w:t>
            </w:r>
          </w:p>
        </w:tc>
        <w:tc>
          <w:tcPr>
            <w:tcW w:w="851"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hAnsi="宋体" w:eastAsia="仿宋_GB2312" w:cs="宋体"/>
                <w:b/>
                <w:bCs/>
                <w:color w:val="000000"/>
                <w:kern w:val="0"/>
                <w:sz w:val="24"/>
                <w:szCs w:val="24"/>
              </w:rPr>
            </w:pPr>
            <w:r>
              <w:rPr>
                <w:rFonts w:ascii="仿宋_GB2312" w:hAnsi="宋体" w:eastAsia="仿宋_GB2312" w:cs="宋体"/>
                <w:b/>
                <w:bCs/>
                <w:color w:val="000000"/>
                <w:kern w:val="0"/>
                <w:sz w:val="24"/>
                <w:szCs w:val="24"/>
              </w:rPr>
              <w:t>15.6</w:t>
            </w:r>
          </w:p>
        </w:tc>
        <w:tc>
          <w:tcPr>
            <w:tcW w:w="850"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b/>
                <w:bCs/>
                <w:sz w:val="24"/>
                <w:szCs w:val="24"/>
              </w:rPr>
            </w:pPr>
            <w:r>
              <w:rPr>
                <w:rFonts w:ascii="仿宋_GB2312" w:eastAsia="仿宋_GB2312"/>
                <w:b/>
                <w:bCs/>
                <w:sz w:val="24"/>
                <w:szCs w:val="24"/>
              </w:rPr>
              <w:t>15.6</w:t>
            </w:r>
          </w:p>
        </w:tc>
        <w:tc>
          <w:tcPr>
            <w:tcW w:w="993"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b/>
                <w:bCs/>
                <w:sz w:val="24"/>
                <w:szCs w:val="24"/>
              </w:rPr>
            </w:pPr>
            <w:r>
              <w:rPr>
                <w:rFonts w:ascii="仿宋_GB2312" w:eastAsia="仿宋_GB2312"/>
                <w:b/>
                <w:bCs/>
                <w:sz w:val="24"/>
                <w:szCs w:val="24"/>
              </w:rPr>
              <w:t>100</w:t>
            </w:r>
            <w:r>
              <w:rPr>
                <w:rFonts w:hint="eastAsia" w:ascii="仿宋_GB2312" w:eastAsia="仿宋_GB2312"/>
                <w:b/>
                <w:bCs/>
                <w:sz w:val="24"/>
                <w:szCs w:val="24"/>
              </w:rPr>
              <w:t>%</w:t>
            </w:r>
          </w:p>
        </w:tc>
      </w:tr>
    </w:tbl>
    <w:p>
      <w:pPr>
        <w:ind w:firstLine="562"/>
      </w:pPr>
      <w:bookmarkStart w:id="45" w:name="_Hlk96161599"/>
      <w:r>
        <w:rPr>
          <w:rFonts w:hint="eastAsia"/>
          <w:b/>
          <w:bCs/>
          <w:szCs w:val="28"/>
        </w:rPr>
        <w:t>调研成果形成率</w:t>
      </w:r>
      <w:bookmarkEnd w:id="45"/>
      <w:r>
        <w:rPr>
          <w:rFonts w:hint="eastAsia"/>
          <w:b/>
          <w:bCs/>
          <w:szCs w:val="28"/>
        </w:rPr>
        <w:t>：</w:t>
      </w:r>
      <w:r>
        <w:rPr>
          <w:rFonts w:hint="eastAsia"/>
          <w:szCs w:val="28"/>
        </w:rPr>
        <w:t>我</w:t>
      </w:r>
      <w:r>
        <w:rPr>
          <w:rFonts w:hint="eastAsia"/>
        </w:rPr>
        <w:t>单位全年深入省内各地开展专题调研7次，形成调研成果8篇，其中形成《打造河西走廊新能源发展创新高地调研报告》拟上报中共中央，调研成果形成率达到9</w:t>
      </w:r>
      <w:r>
        <w:t>5</w:t>
      </w:r>
      <w:r>
        <w:rPr>
          <w:rFonts w:hint="eastAsia"/>
        </w:rPr>
        <w:t>%以上。指标权重3.12分，自评得分3.12分，得分率1</w:t>
      </w:r>
      <w:r>
        <w:t>00</w:t>
      </w:r>
      <w:r>
        <w:rPr>
          <w:rFonts w:hint="eastAsia"/>
        </w:rPr>
        <w:t>%。</w:t>
      </w:r>
    </w:p>
    <w:p>
      <w:pPr>
        <w:ind w:firstLine="562"/>
      </w:pPr>
      <w:r>
        <w:rPr>
          <w:rFonts w:hint="eastAsia"/>
          <w:b/>
          <w:bCs/>
        </w:rPr>
        <w:t>会议成果应用率：</w:t>
      </w:r>
      <w:r>
        <w:rPr>
          <w:rFonts w:hint="eastAsia"/>
        </w:rPr>
        <w:t>全国人大代表、民革甘肃农业大学支部副主委马晖玲参加十三届全国人大四次会议，提交6件建议，其中《建议加强草种基地建设，解决林草种苗“卡脖子”问题》，被上级有关部门采用，为我单位履行参政议政职能奠定了坚实的基础，会议成果应用率达到</w:t>
      </w:r>
      <w:r>
        <w:t>95%</w:t>
      </w:r>
      <w:r>
        <w:rPr>
          <w:rFonts w:hint="eastAsia"/>
        </w:rPr>
        <w:t>。指标权重3.12分，自评得分3.12分，得分率1</w:t>
      </w:r>
      <w:r>
        <w:t>00</w:t>
      </w:r>
      <w:r>
        <w:rPr>
          <w:rFonts w:hint="eastAsia"/>
        </w:rPr>
        <w:t>%。</w:t>
      </w:r>
    </w:p>
    <w:p>
      <w:pPr>
        <w:ind w:firstLine="562"/>
        <w:rPr>
          <w:szCs w:val="28"/>
        </w:rPr>
      </w:pPr>
      <w:r>
        <w:rPr>
          <w:rFonts w:hint="eastAsia"/>
          <w:b/>
          <w:bCs/>
          <w:szCs w:val="28"/>
        </w:rPr>
        <w:t>开展民主监督、脱贫攻坚工作完成率：</w:t>
      </w:r>
      <w:r>
        <w:rPr>
          <w:rFonts w:hint="eastAsia"/>
        </w:rPr>
        <w:t>2021年，省委会主要领导带队分别赴省农业农村厅和兰州市开展监督性调研4次，认真开展乡村振兴对口帮扶工作，因为疫情影响，民主监督、脱贫攻坚工作完成率95%。</w:t>
      </w:r>
      <w:r>
        <w:rPr>
          <w:rFonts w:hint="eastAsia"/>
          <w:szCs w:val="28"/>
        </w:rPr>
        <w:t>指标权重3.12分，自评得分3.12分，得分率1</w:t>
      </w:r>
      <w:r>
        <w:rPr>
          <w:szCs w:val="28"/>
        </w:rPr>
        <w:t>00</w:t>
      </w:r>
      <w:r>
        <w:rPr>
          <w:rFonts w:hint="eastAsia"/>
          <w:szCs w:val="28"/>
        </w:rPr>
        <w:t>%。</w:t>
      </w:r>
    </w:p>
    <w:p>
      <w:pPr>
        <w:ind w:firstLine="562"/>
        <w:rPr>
          <w:rFonts w:hint="eastAsia"/>
          <w:color w:val="auto"/>
          <w:szCs w:val="28"/>
        </w:rPr>
      </w:pPr>
      <w:r>
        <w:rPr>
          <w:rFonts w:hint="eastAsia"/>
          <w:b/>
          <w:bCs/>
          <w:color w:val="auto"/>
          <w:szCs w:val="28"/>
        </w:rPr>
        <w:t>会议出勤率：</w:t>
      </w:r>
      <w:r>
        <w:rPr>
          <w:rFonts w:hint="eastAsia"/>
          <w:color w:val="auto"/>
          <w:szCs w:val="28"/>
        </w:rPr>
        <w:t>会议出勤率达到95%，基本达成预期目标。指标权重3.12分，自评得分3.12分，得分率1</w:t>
      </w:r>
      <w:r>
        <w:rPr>
          <w:color w:val="auto"/>
          <w:szCs w:val="28"/>
        </w:rPr>
        <w:t>00</w:t>
      </w:r>
      <w:r>
        <w:rPr>
          <w:rFonts w:hint="eastAsia"/>
          <w:color w:val="auto"/>
          <w:szCs w:val="28"/>
        </w:rPr>
        <w:t>%。</w:t>
      </w:r>
    </w:p>
    <w:p>
      <w:pPr>
        <w:ind w:firstLine="562"/>
        <w:rPr>
          <w:b/>
          <w:bCs/>
          <w:szCs w:val="28"/>
        </w:rPr>
      </w:pPr>
      <w:r>
        <w:rPr>
          <w:rFonts w:hint="eastAsia"/>
          <w:b/>
          <w:bCs/>
          <w:szCs w:val="28"/>
        </w:rPr>
        <w:t>开展社会服务及下乡帮扶工作完成率：</w:t>
      </w:r>
      <w:r>
        <w:rPr>
          <w:rFonts w:hint="eastAsia"/>
        </w:rPr>
        <w:t>2021年，我单位参与对口帮扶及支持消费扶贫工作2项，积极开展社会服务活动5项，因为疫情影响，社会服务及下乡帮扶工作完成率95%。指标权重</w:t>
      </w:r>
      <w:r>
        <w:t>3.12</w:t>
      </w:r>
      <w:r>
        <w:rPr>
          <w:rFonts w:hint="eastAsia"/>
        </w:rPr>
        <w:t>分，自评得分</w:t>
      </w:r>
      <w:r>
        <w:t>3.12</w:t>
      </w:r>
      <w:r>
        <w:rPr>
          <w:rFonts w:hint="eastAsia"/>
        </w:rPr>
        <w:t>分，得分率1</w:t>
      </w:r>
      <w:r>
        <w:t>00</w:t>
      </w:r>
      <w:r>
        <w:rPr>
          <w:rFonts w:hint="eastAsia"/>
        </w:rPr>
        <w:t>%。</w:t>
      </w:r>
    </w:p>
    <w:p>
      <w:pPr>
        <w:ind w:firstLine="562"/>
        <w:rPr>
          <w:rFonts w:hAnsi="宋体"/>
          <w:b/>
          <w:bCs/>
          <w:szCs w:val="28"/>
        </w:rPr>
      </w:pPr>
      <w:r>
        <w:rPr>
          <w:rFonts w:hint="eastAsia" w:hAnsi="宋体"/>
          <w:b/>
          <w:bCs/>
          <w:szCs w:val="28"/>
        </w:rPr>
        <w:t>③时效指标</w:t>
      </w:r>
    </w:p>
    <w:p>
      <w:pPr>
        <w:ind w:firstLine="560"/>
        <w:rPr>
          <w:rFonts w:hAnsi="宋体"/>
          <w:szCs w:val="28"/>
        </w:rPr>
      </w:pPr>
      <w:r>
        <w:rPr>
          <w:rFonts w:hint="eastAsia"/>
        </w:rPr>
        <w:t>产出时效指标下设5个三级指标，</w:t>
      </w:r>
      <w:r>
        <w:rPr>
          <w:rFonts w:hint="eastAsia" w:hAnsi="宋体"/>
          <w:szCs w:val="28"/>
        </w:rPr>
        <w:t>指标权重合计15.6分，自评得分15.6分，得分率为</w:t>
      </w:r>
      <w:r>
        <w:rPr>
          <w:rFonts w:hAnsi="宋体"/>
          <w:szCs w:val="28"/>
        </w:rPr>
        <w:t>100</w:t>
      </w:r>
      <w:r>
        <w:rPr>
          <w:rFonts w:hint="eastAsia" w:hAnsi="宋体"/>
          <w:szCs w:val="28"/>
        </w:rPr>
        <w:t>%。</w:t>
      </w:r>
    </w:p>
    <w:tbl>
      <w:tblPr>
        <w:tblStyle w:val="18"/>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76"/>
        <w:gridCol w:w="1257"/>
        <w:gridCol w:w="1533"/>
        <w:gridCol w:w="850"/>
        <w:gridCol w:w="821"/>
        <w:gridCol w:w="1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2830"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hint="eastAsia" w:ascii="仿宋_GB2312" w:hAnsi="宋体" w:eastAsia="仿宋_GB2312" w:cs="宋体"/>
                <w:b/>
                <w:bCs/>
                <w:color w:val="000000"/>
                <w:kern w:val="0"/>
                <w:sz w:val="24"/>
                <w:szCs w:val="24"/>
              </w:rPr>
              <w:t>三级指标</w:t>
            </w:r>
          </w:p>
        </w:tc>
        <w:tc>
          <w:tcPr>
            <w:tcW w:w="1276"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hint="eastAsia" w:ascii="仿宋_GB2312" w:hAnsi="宋体" w:eastAsia="仿宋_GB2312" w:cs="宋体"/>
                <w:b/>
                <w:bCs/>
                <w:color w:val="000000"/>
                <w:kern w:val="0"/>
                <w:sz w:val="24"/>
                <w:szCs w:val="24"/>
              </w:rPr>
              <w:t>年度指标值</w:t>
            </w:r>
          </w:p>
        </w:tc>
        <w:tc>
          <w:tcPr>
            <w:tcW w:w="1559"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hint="eastAsia" w:ascii="仿宋_GB2312" w:hAnsi="宋体" w:eastAsia="仿宋_GB2312" w:cs="宋体"/>
                <w:b/>
                <w:bCs/>
                <w:color w:val="000000"/>
                <w:kern w:val="0"/>
                <w:sz w:val="24"/>
                <w:szCs w:val="24"/>
              </w:rPr>
              <w:t>实际完成值</w:t>
            </w:r>
          </w:p>
        </w:tc>
        <w:tc>
          <w:tcPr>
            <w:tcW w:w="851"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分值</w:t>
            </w:r>
          </w:p>
        </w:tc>
        <w:tc>
          <w:tcPr>
            <w:tcW w:w="709"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hint="eastAsia" w:ascii="仿宋_GB2312" w:hAnsi="宋体" w:eastAsia="仿宋_GB2312" w:cs="宋体"/>
                <w:b/>
                <w:bCs/>
                <w:color w:val="000000"/>
                <w:kern w:val="0"/>
                <w:sz w:val="24"/>
                <w:szCs w:val="24"/>
              </w:rPr>
              <w:t>得分</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hint="eastAsia" w:ascii="仿宋_GB2312" w:hAnsi="宋体" w:eastAsia="仿宋_GB2312" w:cs="宋体"/>
                <w:b/>
                <w:bCs/>
                <w:color w:val="000000"/>
                <w:kern w:val="0"/>
                <w:sz w:val="24"/>
                <w:szCs w:val="24"/>
              </w:rPr>
              <w:t>得分率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30"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left"/>
              <w:rPr>
                <w:rFonts w:ascii="仿宋_GB2312" w:eastAsia="仿宋_GB2312"/>
                <w:sz w:val="24"/>
                <w:szCs w:val="24"/>
              </w:rPr>
            </w:pPr>
            <w:r>
              <w:rPr>
                <w:rFonts w:hint="eastAsia" w:ascii="仿宋_GB2312" w:hAnsi="宋体" w:eastAsia="仿宋_GB2312" w:cs="宋体"/>
                <w:color w:val="000000"/>
                <w:kern w:val="0"/>
                <w:sz w:val="24"/>
                <w:szCs w:val="24"/>
              </w:rPr>
              <w:t>调研完成及时性达95%</w:t>
            </w:r>
          </w:p>
        </w:tc>
        <w:tc>
          <w:tcPr>
            <w:tcW w:w="1276"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hint="eastAsia" w:ascii="仿宋_GB2312" w:hAnsi="宋体" w:eastAsia="仿宋_GB2312" w:cs="宋体"/>
                <w:color w:val="000000"/>
                <w:kern w:val="0"/>
                <w:sz w:val="24"/>
                <w:szCs w:val="24"/>
              </w:rPr>
              <w:t>及时</w:t>
            </w:r>
          </w:p>
        </w:tc>
        <w:tc>
          <w:tcPr>
            <w:tcW w:w="1559"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hint="eastAsia" w:ascii="仿宋_GB2312" w:hAnsi="宋体" w:eastAsia="仿宋_GB2312" w:cs="宋体"/>
                <w:color w:val="000000"/>
                <w:kern w:val="0"/>
                <w:sz w:val="24"/>
                <w:szCs w:val="24"/>
              </w:rPr>
              <w:t>95%</w:t>
            </w:r>
          </w:p>
        </w:tc>
        <w:tc>
          <w:tcPr>
            <w:tcW w:w="851"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3.12</w:t>
            </w:r>
          </w:p>
        </w:tc>
        <w:tc>
          <w:tcPr>
            <w:tcW w:w="709"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hint="eastAsia" w:ascii="仿宋_GB2312" w:eastAsia="仿宋_GB2312"/>
                <w:sz w:val="24"/>
                <w:szCs w:val="24"/>
              </w:rPr>
              <w:t>3.12</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ascii="仿宋_GB2312" w:hAnsi="宋体" w:eastAsia="仿宋_GB2312" w:cs="宋体"/>
                <w:color w:val="000000"/>
                <w:kern w:val="0"/>
                <w:sz w:val="24"/>
                <w:szCs w:val="24"/>
              </w:rPr>
              <w:t>100</w:t>
            </w:r>
            <w:r>
              <w:rPr>
                <w:rFonts w:hint="eastAsia" w:ascii="仿宋_GB2312" w:hAnsi="宋体" w:eastAsia="仿宋_GB2312" w:cs="宋体"/>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30"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开展民主监督、脱贫攻坚工作完成及时性达95%</w:t>
            </w:r>
          </w:p>
        </w:tc>
        <w:tc>
          <w:tcPr>
            <w:tcW w:w="1276"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及时</w:t>
            </w:r>
          </w:p>
        </w:tc>
        <w:tc>
          <w:tcPr>
            <w:tcW w:w="1559"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95</w:t>
            </w:r>
            <w:r>
              <w:rPr>
                <w:rFonts w:ascii="仿宋_GB2312" w:hAnsi="宋体" w:eastAsia="仿宋_GB2312" w:cs="宋体"/>
                <w:color w:val="000000"/>
                <w:kern w:val="0"/>
                <w:sz w:val="24"/>
                <w:szCs w:val="24"/>
              </w:rPr>
              <w:t>%</w:t>
            </w:r>
          </w:p>
        </w:tc>
        <w:tc>
          <w:tcPr>
            <w:tcW w:w="851"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3.12</w:t>
            </w:r>
          </w:p>
        </w:tc>
        <w:tc>
          <w:tcPr>
            <w:tcW w:w="709"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hint="eastAsia" w:ascii="仿宋_GB2312" w:eastAsia="仿宋_GB2312"/>
                <w:sz w:val="24"/>
                <w:szCs w:val="24"/>
              </w:rPr>
              <w:t>3.12</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w:t>
            </w:r>
            <w:r>
              <w:rPr>
                <w:rFonts w:ascii="仿宋_GB2312" w:hAnsi="宋体" w:eastAsia="仿宋_GB2312" w:cs="宋体"/>
                <w:color w:val="000000"/>
                <w:kern w:val="0"/>
                <w:sz w:val="24"/>
                <w:szCs w:val="24"/>
              </w:rPr>
              <w:t>00</w:t>
            </w:r>
            <w:r>
              <w:rPr>
                <w:rFonts w:hint="eastAsia" w:ascii="仿宋_GB2312" w:hAnsi="宋体" w:eastAsia="仿宋_GB2312" w:cs="宋体"/>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30"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开展社会服务及帮扶工作及时性达95%</w:t>
            </w:r>
          </w:p>
        </w:tc>
        <w:tc>
          <w:tcPr>
            <w:tcW w:w="1276"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及时</w:t>
            </w:r>
          </w:p>
        </w:tc>
        <w:tc>
          <w:tcPr>
            <w:tcW w:w="1559"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95</w:t>
            </w:r>
            <w:r>
              <w:rPr>
                <w:rFonts w:ascii="仿宋_GB2312" w:hAnsi="宋体" w:eastAsia="仿宋_GB2312" w:cs="宋体"/>
                <w:color w:val="000000"/>
                <w:kern w:val="0"/>
                <w:sz w:val="24"/>
                <w:szCs w:val="24"/>
              </w:rPr>
              <w:t>%</w:t>
            </w:r>
          </w:p>
        </w:tc>
        <w:tc>
          <w:tcPr>
            <w:tcW w:w="851"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3.12</w:t>
            </w:r>
          </w:p>
        </w:tc>
        <w:tc>
          <w:tcPr>
            <w:tcW w:w="709"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hint="eastAsia" w:ascii="仿宋_GB2312" w:eastAsia="仿宋_GB2312"/>
                <w:sz w:val="24"/>
                <w:szCs w:val="24"/>
              </w:rPr>
              <w:t>3.12</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w:t>
            </w:r>
            <w:r>
              <w:rPr>
                <w:rFonts w:ascii="仿宋_GB2312" w:hAnsi="宋体" w:eastAsia="仿宋_GB2312" w:cs="宋体"/>
                <w:color w:val="000000"/>
                <w:kern w:val="0"/>
                <w:sz w:val="24"/>
                <w:szCs w:val="24"/>
              </w:rPr>
              <w:t>00</w:t>
            </w:r>
            <w:r>
              <w:rPr>
                <w:rFonts w:hint="eastAsia" w:ascii="仿宋_GB2312" w:hAnsi="宋体" w:eastAsia="仿宋_GB2312" w:cs="宋体"/>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30"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培训课时完成及时性（%）</w:t>
            </w:r>
          </w:p>
        </w:tc>
        <w:tc>
          <w:tcPr>
            <w:tcW w:w="1276"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≥95%</w:t>
            </w:r>
          </w:p>
        </w:tc>
        <w:tc>
          <w:tcPr>
            <w:tcW w:w="1559"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95</w:t>
            </w:r>
            <w:r>
              <w:rPr>
                <w:rFonts w:ascii="仿宋_GB2312" w:hAnsi="宋体" w:eastAsia="仿宋_GB2312" w:cs="宋体"/>
                <w:color w:val="000000"/>
                <w:kern w:val="0"/>
                <w:sz w:val="24"/>
                <w:szCs w:val="24"/>
              </w:rPr>
              <w:t>%</w:t>
            </w:r>
          </w:p>
        </w:tc>
        <w:tc>
          <w:tcPr>
            <w:tcW w:w="851"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3.12</w:t>
            </w:r>
          </w:p>
        </w:tc>
        <w:tc>
          <w:tcPr>
            <w:tcW w:w="709"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hint="eastAsia" w:ascii="仿宋_GB2312" w:eastAsia="仿宋_GB2312"/>
                <w:sz w:val="24"/>
                <w:szCs w:val="24"/>
              </w:rPr>
              <w:t>3.12</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w:t>
            </w:r>
            <w:r>
              <w:rPr>
                <w:rFonts w:ascii="仿宋_GB2312" w:hAnsi="宋体" w:eastAsia="仿宋_GB2312" w:cs="宋体"/>
                <w:color w:val="000000"/>
                <w:kern w:val="0"/>
                <w:sz w:val="24"/>
                <w:szCs w:val="24"/>
              </w:rPr>
              <w:t>00</w:t>
            </w:r>
            <w:r>
              <w:rPr>
                <w:rFonts w:hint="eastAsia" w:ascii="仿宋_GB2312" w:hAnsi="宋体" w:eastAsia="仿宋_GB2312" w:cs="宋体"/>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65" w:type="dxa"/>
            <w:gridSpan w:val="3"/>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b/>
                <w:bCs/>
                <w:sz w:val="24"/>
                <w:szCs w:val="24"/>
              </w:rPr>
            </w:pPr>
            <w:r>
              <w:rPr>
                <w:rFonts w:hint="eastAsia" w:ascii="仿宋_GB2312" w:hAnsi="宋体" w:eastAsia="仿宋_GB2312" w:cs="宋体"/>
                <w:b/>
                <w:bCs/>
                <w:color w:val="000000"/>
                <w:kern w:val="0"/>
                <w:sz w:val="24"/>
                <w:szCs w:val="24"/>
              </w:rPr>
              <w:t>合计</w:t>
            </w:r>
          </w:p>
        </w:tc>
        <w:tc>
          <w:tcPr>
            <w:tcW w:w="851"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hAnsi="宋体" w:eastAsia="仿宋_GB2312" w:cs="宋体"/>
                <w:b/>
                <w:bCs/>
                <w:color w:val="000000"/>
                <w:kern w:val="0"/>
                <w:sz w:val="24"/>
                <w:szCs w:val="24"/>
              </w:rPr>
            </w:pPr>
            <w:r>
              <w:rPr>
                <w:rFonts w:ascii="仿宋_GB2312" w:hAnsi="宋体" w:eastAsia="仿宋_GB2312" w:cs="宋体"/>
                <w:b/>
                <w:bCs/>
                <w:color w:val="000000"/>
                <w:kern w:val="0"/>
                <w:sz w:val="24"/>
                <w:szCs w:val="24"/>
              </w:rPr>
              <w:t>12.48</w:t>
            </w:r>
          </w:p>
        </w:tc>
        <w:tc>
          <w:tcPr>
            <w:tcW w:w="709"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b/>
                <w:bCs/>
                <w:sz w:val="24"/>
                <w:szCs w:val="24"/>
              </w:rPr>
            </w:pPr>
            <w:r>
              <w:rPr>
                <w:rFonts w:ascii="仿宋_GB2312" w:eastAsia="仿宋_GB2312"/>
                <w:b/>
                <w:bCs/>
                <w:sz w:val="24"/>
                <w:szCs w:val="24"/>
              </w:rPr>
              <w:t>12.48</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b/>
                <w:bCs/>
                <w:sz w:val="24"/>
                <w:szCs w:val="24"/>
              </w:rPr>
            </w:pPr>
            <w:r>
              <w:rPr>
                <w:rFonts w:ascii="仿宋_GB2312" w:eastAsia="仿宋_GB2312"/>
                <w:b/>
                <w:bCs/>
                <w:sz w:val="24"/>
                <w:szCs w:val="24"/>
              </w:rPr>
              <w:t>100</w:t>
            </w:r>
            <w:r>
              <w:rPr>
                <w:rFonts w:hint="eastAsia" w:ascii="仿宋_GB2312" w:eastAsia="仿宋_GB2312"/>
                <w:b/>
                <w:bCs/>
                <w:sz w:val="24"/>
                <w:szCs w:val="24"/>
              </w:rPr>
              <w:t>%</w:t>
            </w:r>
          </w:p>
        </w:tc>
      </w:tr>
    </w:tbl>
    <w:p>
      <w:pPr>
        <w:ind w:firstLine="562"/>
        <w:rPr>
          <w:rFonts w:hAnsi="宋体"/>
          <w:b/>
          <w:bCs/>
          <w:szCs w:val="28"/>
        </w:rPr>
      </w:pPr>
      <w:r>
        <w:rPr>
          <w:rFonts w:hint="eastAsia" w:hAnsi="宋体"/>
          <w:b/>
          <w:bCs/>
          <w:szCs w:val="28"/>
        </w:rPr>
        <w:t>调研完成及时性达95%：</w:t>
      </w:r>
      <w:r>
        <w:rPr>
          <w:rFonts w:hint="eastAsia" w:hAnsi="仿宋"/>
          <w:szCs w:val="32"/>
        </w:rPr>
        <w:t>本年度调研工作及时完成，达到预期目标，指标权重3.12分，自评得分3.12分，得分率1</w:t>
      </w:r>
      <w:r>
        <w:rPr>
          <w:rFonts w:hAnsi="仿宋"/>
          <w:szCs w:val="32"/>
        </w:rPr>
        <w:t>00</w:t>
      </w:r>
      <w:r>
        <w:rPr>
          <w:rFonts w:hint="eastAsia" w:hAnsi="仿宋"/>
          <w:szCs w:val="32"/>
        </w:rPr>
        <w:t>%。</w:t>
      </w:r>
    </w:p>
    <w:p>
      <w:pPr>
        <w:ind w:firstLine="562"/>
        <w:rPr>
          <w:rFonts w:hAnsi="宋体"/>
          <w:b/>
          <w:bCs/>
          <w:szCs w:val="28"/>
        </w:rPr>
      </w:pPr>
      <w:r>
        <w:rPr>
          <w:rFonts w:hint="eastAsia" w:hAnsi="宋体"/>
          <w:b/>
          <w:bCs/>
          <w:szCs w:val="28"/>
        </w:rPr>
        <w:t>开展民主监督、脱贫攻坚工作完成及时性达95%：</w:t>
      </w:r>
      <w:r>
        <w:rPr>
          <w:rFonts w:hint="eastAsia" w:hAnsi="宋体"/>
          <w:szCs w:val="28"/>
        </w:rPr>
        <w:t>本年省委会及时成立工作领导小组和两个专责工作小组，开展专题学习、梳理重点监督内容、制定工作方案，建立会商沟通、工作责任落实、意见建议征询、民主监督成果转化“四项机制”，民主监督、脱贫攻坚工作及时完成，</w:t>
      </w:r>
      <w:r>
        <w:rPr>
          <w:rFonts w:hint="eastAsia" w:hAnsi="仿宋"/>
          <w:szCs w:val="32"/>
        </w:rPr>
        <w:t>达到预期目标</w:t>
      </w:r>
      <w:r>
        <w:rPr>
          <w:rFonts w:hint="eastAsia" w:hAnsi="宋体"/>
          <w:szCs w:val="28"/>
        </w:rPr>
        <w:t>。</w:t>
      </w:r>
      <w:r>
        <w:rPr>
          <w:rFonts w:hint="eastAsia" w:hAnsi="仿宋"/>
          <w:szCs w:val="32"/>
        </w:rPr>
        <w:t>指标权重3.12分，自评得分3.12分，得分率1</w:t>
      </w:r>
      <w:r>
        <w:rPr>
          <w:rFonts w:hAnsi="仿宋"/>
          <w:szCs w:val="32"/>
        </w:rPr>
        <w:t>00</w:t>
      </w:r>
      <w:r>
        <w:rPr>
          <w:rFonts w:hint="eastAsia" w:hAnsi="仿宋"/>
          <w:szCs w:val="32"/>
        </w:rPr>
        <w:t>%。</w:t>
      </w:r>
    </w:p>
    <w:p>
      <w:pPr>
        <w:ind w:firstLine="562"/>
      </w:pPr>
      <w:r>
        <w:rPr>
          <w:rFonts w:hint="eastAsia" w:hAnsi="宋体"/>
          <w:b/>
          <w:bCs/>
          <w:szCs w:val="28"/>
        </w:rPr>
        <w:t>开展社会服务及帮扶工作及时性达95%：</w:t>
      </w:r>
      <w:r>
        <w:rPr>
          <w:rFonts w:hint="eastAsia" w:hAnsi="仿宋"/>
          <w:szCs w:val="32"/>
        </w:rPr>
        <w:t>本年我单位认真开展乡村振兴对口帮扶工作、东西部扶贫协作社会动员专项工以及社会服务活动，各项工作按时完成，达成预期目标。指标权重3.12分，自评得分3.12分，得分率1</w:t>
      </w:r>
      <w:r>
        <w:rPr>
          <w:rFonts w:hAnsi="仿宋"/>
          <w:szCs w:val="32"/>
        </w:rPr>
        <w:t>00</w:t>
      </w:r>
      <w:r>
        <w:rPr>
          <w:rFonts w:hint="eastAsia" w:hAnsi="仿宋"/>
          <w:szCs w:val="32"/>
        </w:rPr>
        <w:t>%。</w:t>
      </w:r>
    </w:p>
    <w:p>
      <w:pPr>
        <w:ind w:firstLine="562"/>
      </w:pPr>
      <w:r>
        <w:rPr>
          <w:rFonts w:hint="eastAsia" w:hAnsi="宋体"/>
          <w:b/>
          <w:bCs/>
          <w:szCs w:val="28"/>
        </w:rPr>
        <w:t>培训课时完成及时性：</w:t>
      </w:r>
      <w:r>
        <w:rPr>
          <w:rFonts w:hint="eastAsia"/>
        </w:rPr>
        <w:t>我单位如期完成了各类培训工作，</w:t>
      </w:r>
      <w:r>
        <w:rPr>
          <w:rFonts w:hint="eastAsia" w:hAnsi="仿宋"/>
          <w:szCs w:val="32"/>
        </w:rPr>
        <w:t>基本达成预期目标，</w:t>
      </w:r>
      <w:r>
        <w:rPr>
          <w:rFonts w:hint="eastAsia"/>
        </w:rPr>
        <w:t>指标权重3.12</w:t>
      </w:r>
      <w:r>
        <w:t>分，自评得分</w:t>
      </w:r>
      <w:r>
        <w:rPr>
          <w:rFonts w:hint="eastAsia"/>
        </w:rPr>
        <w:t>3.12</w:t>
      </w:r>
      <w:r>
        <w:t>分，得分率</w:t>
      </w:r>
      <w:r>
        <w:rPr>
          <w:rFonts w:hint="eastAsia"/>
        </w:rPr>
        <w:t>1</w:t>
      </w:r>
      <w:r>
        <w:t>00%。</w:t>
      </w:r>
    </w:p>
    <w:p>
      <w:pPr>
        <w:ind w:firstLine="562"/>
        <w:rPr>
          <w:rFonts w:hAnsi="宋体"/>
          <w:b/>
          <w:bCs/>
          <w:szCs w:val="28"/>
        </w:rPr>
      </w:pPr>
      <w:r>
        <w:rPr>
          <w:rFonts w:hint="eastAsia" w:hAnsi="宋体"/>
          <w:b/>
          <w:bCs/>
          <w:szCs w:val="28"/>
        </w:rPr>
        <w:t>④成本指标</w:t>
      </w:r>
    </w:p>
    <w:p>
      <w:pPr>
        <w:ind w:firstLine="560"/>
        <w:rPr>
          <w:rFonts w:hAnsi="仿宋"/>
          <w:szCs w:val="32"/>
        </w:rPr>
      </w:pPr>
      <w:r>
        <w:rPr>
          <w:rFonts w:hint="eastAsia" w:hAnsi="仿宋"/>
          <w:szCs w:val="32"/>
        </w:rPr>
        <w:t>产出成本指标下设</w:t>
      </w:r>
      <w:r>
        <w:rPr>
          <w:rFonts w:hAnsi="仿宋"/>
          <w:szCs w:val="32"/>
        </w:rPr>
        <w:t>1</w:t>
      </w:r>
      <w:r>
        <w:rPr>
          <w:rFonts w:hint="eastAsia" w:hAnsi="仿宋"/>
          <w:szCs w:val="32"/>
        </w:rPr>
        <w:t>个三级指标为成本控制情况，年度指标值为在预算范围内，实际完成1</w:t>
      </w:r>
      <w:r>
        <w:rPr>
          <w:rFonts w:hAnsi="仿宋"/>
          <w:szCs w:val="32"/>
        </w:rPr>
        <w:t>00</w:t>
      </w:r>
      <w:r>
        <w:rPr>
          <w:rFonts w:hint="eastAsia" w:hAnsi="仿宋"/>
          <w:szCs w:val="32"/>
        </w:rPr>
        <w:t>%，该项不赋分值，仅体现。</w:t>
      </w:r>
    </w:p>
    <w:p>
      <w:pPr>
        <w:pStyle w:val="4"/>
        <w:ind w:firstLine="562"/>
      </w:pPr>
      <w:r>
        <w:rPr>
          <w:rFonts w:hint="eastAsia"/>
        </w:rPr>
        <w:t>（2）效益指标</w:t>
      </w:r>
    </w:p>
    <w:p>
      <w:pPr>
        <w:ind w:firstLine="560"/>
        <w:rPr>
          <w:szCs w:val="28"/>
        </w:rPr>
      </w:pPr>
      <w:r>
        <w:rPr>
          <w:rFonts w:hint="eastAsia"/>
          <w:szCs w:val="28"/>
        </w:rPr>
        <w:t>本项目设置效益指标时主要考虑了社会效益和可持续影响两部分。总分值30分，得分</w:t>
      </w:r>
      <w:r>
        <w:rPr>
          <w:szCs w:val="28"/>
        </w:rPr>
        <w:t>30</w:t>
      </w:r>
      <w:r>
        <w:rPr>
          <w:rFonts w:hint="eastAsia"/>
          <w:szCs w:val="28"/>
        </w:rPr>
        <w:t>分，得分率</w:t>
      </w:r>
      <w:r>
        <w:rPr>
          <w:szCs w:val="28"/>
        </w:rPr>
        <w:t>100</w:t>
      </w:r>
      <w:r>
        <w:rPr>
          <w:rFonts w:hint="eastAsia"/>
          <w:szCs w:val="28"/>
        </w:rPr>
        <w:t>%。</w:t>
      </w:r>
    </w:p>
    <w:p>
      <w:pPr>
        <w:ind w:firstLine="562"/>
        <w:rPr>
          <w:b/>
          <w:bCs/>
          <w:szCs w:val="28"/>
        </w:rPr>
      </w:pPr>
      <w:r>
        <w:rPr>
          <w:rFonts w:hint="eastAsia"/>
          <w:b/>
          <w:bCs/>
          <w:szCs w:val="28"/>
        </w:rPr>
        <w:t>①社会效益：</w:t>
      </w:r>
    </w:p>
    <w:p>
      <w:pPr>
        <w:ind w:firstLine="560"/>
        <w:rPr>
          <w:rFonts w:hAnsi="宋体"/>
          <w:szCs w:val="28"/>
        </w:rPr>
      </w:pPr>
      <w:r>
        <w:rPr>
          <w:rFonts w:hint="eastAsia"/>
        </w:rPr>
        <w:t>社会效益指标下设1个三级指标，</w:t>
      </w:r>
      <w:r>
        <w:rPr>
          <w:rFonts w:hint="eastAsia" w:hAnsi="宋体"/>
          <w:szCs w:val="28"/>
        </w:rPr>
        <w:t>指标权重合计15分，自评得分15分，得分率为100%。</w:t>
      </w:r>
    </w:p>
    <w:tbl>
      <w:tblPr>
        <w:tblStyle w:val="18"/>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1560"/>
        <w:gridCol w:w="1559"/>
        <w:gridCol w:w="992"/>
        <w:gridCol w:w="851"/>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2263"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hint="eastAsia" w:ascii="仿宋_GB2312" w:hAnsi="宋体" w:eastAsia="仿宋_GB2312" w:cs="宋体"/>
                <w:b/>
                <w:bCs/>
                <w:color w:val="000000"/>
                <w:kern w:val="0"/>
                <w:sz w:val="24"/>
                <w:szCs w:val="24"/>
              </w:rPr>
              <w:t>三级指标</w:t>
            </w:r>
          </w:p>
        </w:tc>
        <w:tc>
          <w:tcPr>
            <w:tcW w:w="1560"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hint="eastAsia" w:ascii="仿宋_GB2312" w:hAnsi="宋体" w:eastAsia="仿宋_GB2312" w:cs="宋体"/>
                <w:b/>
                <w:bCs/>
                <w:color w:val="000000"/>
                <w:kern w:val="0"/>
                <w:sz w:val="24"/>
                <w:szCs w:val="24"/>
              </w:rPr>
              <w:t>年度指标值</w:t>
            </w:r>
          </w:p>
        </w:tc>
        <w:tc>
          <w:tcPr>
            <w:tcW w:w="1559"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hint="eastAsia" w:ascii="仿宋_GB2312" w:hAnsi="宋体" w:eastAsia="仿宋_GB2312" w:cs="宋体"/>
                <w:b/>
                <w:bCs/>
                <w:color w:val="000000"/>
                <w:kern w:val="0"/>
                <w:sz w:val="24"/>
                <w:szCs w:val="24"/>
              </w:rPr>
              <w:t>实际完成值</w:t>
            </w:r>
          </w:p>
        </w:tc>
        <w:tc>
          <w:tcPr>
            <w:tcW w:w="992"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分值</w:t>
            </w:r>
          </w:p>
        </w:tc>
        <w:tc>
          <w:tcPr>
            <w:tcW w:w="851"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hint="eastAsia" w:ascii="仿宋_GB2312" w:hAnsi="宋体" w:eastAsia="仿宋_GB2312" w:cs="宋体"/>
                <w:b/>
                <w:bCs/>
                <w:color w:val="000000"/>
                <w:kern w:val="0"/>
                <w:sz w:val="24"/>
                <w:szCs w:val="24"/>
              </w:rPr>
              <w:t>得分</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hint="eastAsia" w:ascii="仿宋_GB2312" w:hAnsi="宋体" w:eastAsia="仿宋_GB2312" w:cs="宋体"/>
                <w:b/>
                <w:bCs/>
                <w:color w:val="000000"/>
                <w:kern w:val="0"/>
                <w:sz w:val="24"/>
                <w:szCs w:val="24"/>
              </w:rPr>
              <w:t>得分率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63"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hint="eastAsia" w:ascii="仿宋_GB2312" w:hAnsi="宋体" w:eastAsia="仿宋_GB2312" w:cs="宋体"/>
                <w:color w:val="000000"/>
                <w:kern w:val="0"/>
                <w:sz w:val="24"/>
                <w:szCs w:val="24"/>
              </w:rPr>
              <w:t>促进就业增长情况</w:t>
            </w:r>
          </w:p>
        </w:tc>
        <w:tc>
          <w:tcPr>
            <w:tcW w:w="1560"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hint="eastAsia" w:ascii="仿宋_GB2312" w:hAnsi="宋体" w:eastAsia="仿宋_GB2312" w:cs="宋体"/>
                <w:color w:val="000000"/>
                <w:kern w:val="0"/>
                <w:sz w:val="24"/>
                <w:szCs w:val="24"/>
              </w:rPr>
              <w:t>促进</w:t>
            </w:r>
          </w:p>
        </w:tc>
        <w:tc>
          <w:tcPr>
            <w:tcW w:w="1559"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hint="eastAsia" w:ascii="仿宋_GB2312" w:hAnsi="宋体" w:eastAsia="仿宋_GB2312" w:cs="宋体"/>
                <w:color w:val="000000"/>
                <w:kern w:val="0"/>
                <w:sz w:val="24"/>
                <w:szCs w:val="24"/>
              </w:rPr>
              <w:t>95</w:t>
            </w:r>
            <w:r>
              <w:rPr>
                <w:rFonts w:ascii="仿宋_GB2312" w:hAnsi="宋体" w:eastAsia="仿宋_GB2312" w:cs="宋体"/>
                <w:color w:val="000000"/>
                <w:kern w:val="0"/>
                <w:sz w:val="24"/>
                <w:szCs w:val="24"/>
              </w:rPr>
              <w:t>%</w:t>
            </w:r>
          </w:p>
        </w:tc>
        <w:tc>
          <w:tcPr>
            <w:tcW w:w="992"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15</w:t>
            </w:r>
          </w:p>
        </w:tc>
        <w:tc>
          <w:tcPr>
            <w:tcW w:w="851"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hint="eastAsia" w:ascii="仿宋_GB2312" w:eastAsia="仿宋_GB2312"/>
                <w:sz w:val="24"/>
                <w:szCs w:val="24"/>
              </w:rPr>
              <w:t>15</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hint="eastAsia" w:ascii="仿宋_GB2312" w:hAnsi="宋体" w:eastAsia="仿宋_GB2312" w:cs="宋体"/>
                <w:color w:val="000000"/>
                <w:kern w:val="0"/>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82" w:type="dxa"/>
            <w:gridSpan w:val="3"/>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b/>
                <w:bCs/>
                <w:sz w:val="24"/>
                <w:szCs w:val="24"/>
              </w:rPr>
            </w:pPr>
            <w:r>
              <w:rPr>
                <w:rFonts w:hint="eastAsia" w:ascii="仿宋_GB2312" w:hAnsi="宋体" w:eastAsia="仿宋_GB2312" w:cs="宋体"/>
                <w:b/>
                <w:bCs/>
                <w:color w:val="000000"/>
                <w:kern w:val="0"/>
                <w:sz w:val="24"/>
                <w:szCs w:val="24"/>
              </w:rPr>
              <w:t>合计</w:t>
            </w:r>
          </w:p>
        </w:tc>
        <w:tc>
          <w:tcPr>
            <w:tcW w:w="992"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15</w:t>
            </w:r>
          </w:p>
        </w:tc>
        <w:tc>
          <w:tcPr>
            <w:tcW w:w="851"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b/>
                <w:bCs/>
                <w:sz w:val="24"/>
                <w:szCs w:val="24"/>
              </w:rPr>
            </w:pPr>
            <w:r>
              <w:rPr>
                <w:rFonts w:hint="eastAsia" w:ascii="仿宋_GB2312" w:eastAsia="仿宋_GB2312"/>
                <w:b/>
                <w:bCs/>
                <w:sz w:val="24"/>
                <w:szCs w:val="24"/>
              </w:rPr>
              <w:t>15</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b/>
                <w:bCs/>
                <w:sz w:val="24"/>
                <w:szCs w:val="24"/>
              </w:rPr>
            </w:pPr>
            <w:r>
              <w:rPr>
                <w:rFonts w:hint="eastAsia" w:ascii="仿宋_GB2312" w:eastAsia="仿宋_GB2312"/>
                <w:b/>
                <w:bCs/>
                <w:sz w:val="24"/>
                <w:szCs w:val="24"/>
              </w:rPr>
              <w:t>100%</w:t>
            </w:r>
          </w:p>
        </w:tc>
      </w:tr>
    </w:tbl>
    <w:p>
      <w:pPr>
        <w:ind w:firstLine="562"/>
      </w:pPr>
      <w:r>
        <w:rPr>
          <w:rFonts w:hint="eastAsia"/>
          <w:b/>
          <w:bCs/>
          <w:szCs w:val="28"/>
        </w:rPr>
        <w:t>促进就业增长情况：</w:t>
      </w:r>
      <w:r>
        <w:rPr>
          <w:rFonts w:hint="eastAsia"/>
        </w:rPr>
        <w:t>本年地方组织和基层组织换届工作圆满完成，一批政治素质过硬、年富力强、有组织领导能力和乐于奉献的同志走上了领导岗位。我单位帮助积石山县铺川乡落实肉鸽养殖技术培训，让乡民得到了优质的技术资源，促进了就业。指标权重15分，自评得分15分，得分率100%。</w:t>
      </w:r>
    </w:p>
    <w:p>
      <w:pPr>
        <w:ind w:firstLine="562"/>
        <w:rPr>
          <w:b/>
          <w:bCs/>
          <w:szCs w:val="28"/>
        </w:rPr>
      </w:pPr>
      <w:r>
        <w:rPr>
          <w:rFonts w:hint="eastAsia"/>
          <w:b/>
          <w:bCs/>
          <w:szCs w:val="28"/>
        </w:rPr>
        <w:t>②可持续影响：</w:t>
      </w:r>
    </w:p>
    <w:p>
      <w:pPr>
        <w:ind w:firstLine="560"/>
        <w:rPr>
          <w:rFonts w:hAnsi="宋体"/>
          <w:szCs w:val="28"/>
        </w:rPr>
      </w:pPr>
      <w:r>
        <w:rPr>
          <w:rFonts w:hint="eastAsia"/>
        </w:rPr>
        <w:t>可持续性影响指标下设1个三级指标，</w:t>
      </w:r>
      <w:r>
        <w:rPr>
          <w:rFonts w:hint="eastAsia" w:hAnsi="宋体"/>
          <w:szCs w:val="28"/>
        </w:rPr>
        <w:t>指标权重合计15分，自评得分15分，得分率为</w:t>
      </w:r>
      <w:r>
        <w:rPr>
          <w:rFonts w:hAnsi="宋体"/>
          <w:szCs w:val="28"/>
        </w:rPr>
        <w:t>100</w:t>
      </w:r>
      <w:r>
        <w:rPr>
          <w:rFonts w:hint="eastAsia" w:hAnsi="宋体"/>
          <w:szCs w:val="28"/>
        </w:rPr>
        <w:t>%。</w:t>
      </w:r>
    </w:p>
    <w:tbl>
      <w:tblPr>
        <w:tblStyle w:val="18"/>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1560"/>
        <w:gridCol w:w="1559"/>
        <w:gridCol w:w="992"/>
        <w:gridCol w:w="851"/>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2263"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hint="eastAsia" w:ascii="仿宋_GB2312" w:hAnsi="宋体" w:eastAsia="仿宋_GB2312" w:cs="宋体"/>
                <w:b/>
                <w:bCs/>
                <w:color w:val="000000"/>
                <w:kern w:val="0"/>
                <w:sz w:val="24"/>
                <w:szCs w:val="24"/>
              </w:rPr>
              <w:t>三级指标</w:t>
            </w:r>
          </w:p>
        </w:tc>
        <w:tc>
          <w:tcPr>
            <w:tcW w:w="1560"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hint="eastAsia" w:ascii="仿宋_GB2312" w:hAnsi="宋体" w:eastAsia="仿宋_GB2312" w:cs="宋体"/>
                <w:b/>
                <w:bCs/>
                <w:color w:val="000000"/>
                <w:kern w:val="0"/>
                <w:sz w:val="24"/>
                <w:szCs w:val="24"/>
              </w:rPr>
              <w:t>年度指标值</w:t>
            </w:r>
          </w:p>
        </w:tc>
        <w:tc>
          <w:tcPr>
            <w:tcW w:w="1559"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hint="eastAsia" w:ascii="仿宋_GB2312" w:hAnsi="宋体" w:eastAsia="仿宋_GB2312" w:cs="宋体"/>
                <w:b/>
                <w:bCs/>
                <w:color w:val="000000"/>
                <w:kern w:val="0"/>
                <w:sz w:val="24"/>
                <w:szCs w:val="24"/>
              </w:rPr>
              <w:t>实际完成值</w:t>
            </w:r>
          </w:p>
        </w:tc>
        <w:tc>
          <w:tcPr>
            <w:tcW w:w="992"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分值</w:t>
            </w:r>
          </w:p>
        </w:tc>
        <w:tc>
          <w:tcPr>
            <w:tcW w:w="851"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hint="eastAsia" w:ascii="仿宋_GB2312" w:hAnsi="宋体" w:eastAsia="仿宋_GB2312" w:cs="宋体"/>
                <w:b/>
                <w:bCs/>
                <w:color w:val="000000"/>
                <w:kern w:val="0"/>
                <w:sz w:val="24"/>
                <w:szCs w:val="24"/>
              </w:rPr>
              <w:t>得分</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hint="eastAsia" w:ascii="仿宋_GB2312" w:hAnsi="宋体" w:eastAsia="仿宋_GB2312" w:cs="宋体"/>
                <w:b/>
                <w:bCs/>
                <w:color w:val="000000"/>
                <w:kern w:val="0"/>
                <w:sz w:val="24"/>
                <w:szCs w:val="24"/>
              </w:rPr>
              <w:t>得分率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63"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hint="eastAsia" w:ascii="仿宋_GB2312" w:hAnsi="宋体" w:eastAsia="仿宋_GB2312" w:cs="宋体"/>
                <w:color w:val="000000"/>
                <w:kern w:val="0"/>
                <w:sz w:val="24"/>
                <w:szCs w:val="24"/>
              </w:rPr>
              <w:t>长效管理机制</w:t>
            </w:r>
          </w:p>
        </w:tc>
        <w:tc>
          <w:tcPr>
            <w:tcW w:w="1560"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hint="eastAsia" w:ascii="仿宋_GB2312" w:eastAsia="仿宋_GB2312"/>
                <w:sz w:val="24"/>
                <w:szCs w:val="24"/>
              </w:rPr>
              <w:t>完善</w:t>
            </w:r>
          </w:p>
        </w:tc>
        <w:tc>
          <w:tcPr>
            <w:tcW w:w="1559"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ascii="仿宋_GB2312" w:hAnsi="宋体" w:eastAsia="仿宋_GB2312" w:cs="宋体"/>
                <w:color w:val="000000"/>
                <w:kern w:val="0"/>
                <w:sz w:val="24"/>
                <w:szCs w:val="24"/>
              </w:rPr>
              <w:t>100</w:t>
            </w:r>
            <w:r>
              <w:rPr>
                <w:rFonts w:hint="eastAsia" w:ascii="仿宋_GB2312" w:hAnsi="宋体" w:eastAsia="仿宋_GB2312" w:cs="宋体"/>
                <w:color w:val="000000"/>
                <w:kern w:val="0"/>
                <w:sz w:val="24"/>
                <w:szCs w:val="24"/>
              </w:rPr>
              <w:t>%</w:t>
            </w:r>
          </w:p>
        </w:tc>
        <w:tc>
          <w:tcPr>
            <w:tcW w:w="992"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15</w:t>
            </w:r>
          </w:p>
        </w:tc>
        <w:tc>
          <w:tcPr>
            <w:tcW w:w="851"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hint="eastAsia" w:ascii="仿宋_GB2312" w:eastAsia="仿宋_GB2312"/>
                <w:sz w:val="24"/>
                <w:szCs w:val="24"/>
              </w:rPr>
              <w:t>15</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ascii="仿宋_GB2312" w:hAnsi="宋体" w:eastAsia="仿宋_GB2312" w:cs="宋体"/>
                <w:color w:val="000000"/>
                <w:kern w:val="0"/>
                <w:sz w:val="24"/>
                <w:szCs w:val="24"/>
              </w:rPr>
              <w:t>100</w:t>
            </w:r>
            <w:r>
              <w:rPr>
                <w:rFonts w:hint="eastAsia" w:ascii="仿宋_GB2312" w:hAnsi="宋体" w:eastAsia="仿宋_GB2312" w:cs="宋体"/>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82" w:type="dxa"/>
            <w:gridSpan w:val="3"/>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b/>
                <w:bCs/>
                <w:sz w:val="24"/>
                <w:szCs w:val="24"/>
              </w:rPr>
            </w:pPr>
            <w:r>
              <w:rPr>
                <w:rFonts w:hint="eastAsia" w:ascii="仿宋_GB2312" w:hAnsi="宋体" w:eastAsia="仿宋_GB2312" w:cs="宋体"/>
                <w:b/>
                <w:bCs/>
                <w:color w:val="000000"/>
                <w:kern w:val="0"/>
                <w:sz w:val="24"/>
                <w:szCs w:val="24"/>
              </w:rPr>
              <w:t>合计</w:t>
            </w:r>
          </w:p>
        </w:tc>
        <w:tc>
          <w:tcPr>
            <w:tcW w:w="992"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15</w:t>
            </w:r>
          </w:p>
        </w:tc>
        <w:tc>
          <w:tcPr>
            <w:tcW w:w="851"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b/>
                <w:bCs/>
                <w:sz w:val="24"/>
                <w:szCs w:val="24"/>
              </w:rPr>
            </w:pPr>
            <w:r>
              <w:rPr>
                <w:rFonts w:ascii="仿宋_GB2312" w:eastAsia="仿宋_GB2312"/>
                <w:b/>
                <w:bCs/>
                <w:sz w:val="24"/>
                <w:szCs w:val="24"/>
              </w:rPr>
              <w:t>1</w:t>
            </w:r>
            <w:r>
              <w:rPr>
                <w:rFonts w:hint="eastAsia" w:ascii="仿宋_GB2312" w:eastAsia="仿宋_GB2312"/>
                <w:b/>
                <w:bCs/>
                <w:sz w:val="24"/>
                <w:szCs w:val="24"/>
              </w:rPr>
              <w:t>5</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b/>
                <w:bCs/>
                <w:sz w:val="24"/>
                <w:szCs w:val="24"/>
              </w:rPr>
            </w:pPr>
            <w:r>
              <w:rPr>
                <w:rFonts w:ascii="仿宋_GB2312" w:eastAsia="仿宋_GB2312"/>
                <w:b/>
                <w:bCs/>
                <w:sz w:val="24"/>
                <w:szCs w:val="24"/>
              </w:rPr>
              <w:t>100</w:t>
            </w:r>
            <w:r>
              <w:rPr>
                <w:rFonts w:hint="eastAsia" w:ascii="仿宋_GB2312" w:eastAsia="仿宋_GB2312"/>
                <w:b/>
                <w:bCs/>
                <w:sz w:val="24"/>
                <w:szCs w:val="24"/>
              </w:rPr>
              <w:t>%</w:t>
            </w:r>
          </w:p>
        </w:tc>
      </w:tr>
    </w:tbl>
    <w:p>
      <w:pPr>
        <w:ind w:firstLine="562"/>
      </w:pPr>
      <w:r>
        <w:rPr>
          <w:rFonts w:hint="eastAsia"/>
          <w:b/>
          <w:bCs/>
          <w:szCs w:val="28"/>
        </w:rPr>
        <w:t>长效管理机制：</w:t>
      </w:r>
      <w:r>
        <w:rPr>
          <w:rFonts w:hint="eastAsia"/>
        </w:rPr>
        <w:t>我单位各项管理机制健全，通过各项工作的开展，不断发展和培养人才，向各级政府和社会各方面推荐人才，为发挥他们的才智专长创造条件。指标权重15分，自评得分15分，得分率1</w:t>
      </w:r>
      <w:r>
        <w:t>00</w:t>
      </w:r>
      <w:r>
        <w:rPr>
          <w:rFonts w:hint="eastAsia"/>
        </w:rPr>
        <w:t>%。</w:t>
      </w:r>
    </w:p>
    <w:p>
      <w:pPr>
        <w:pStyle w:val="4"/>
        <w:ind w:firstLine="562"/>
      </w:pPr>
      <w:r>
        <w:rPr>
          <w:rFonts w:hint="eastAsia"/>
        </w:rPr>
        <w:t>（3）满意度指标</w:t>
      </w:r>
    </w:p>
    <w:p>
      <w:pPr>
        <w:ind w:firstLine="560"/>
        <w:rPr>
          <w:rFonts w:hAnsi="宋体"/>
          <w:szCs w:val="28"/>
        </w:rPr>
      </w:pPr>
      <w:r>
        <w:rPr>
          <w:rFonts w:hint="eastAsia"/>
          <w:szCs w:val="28"/>
        </w:rPr>
        <w:t>满意度指标指相关受益群体的满意度，满意度指标设置为2项。</w:t>
      </w:r>
      <w:r>
        <w:rPr>
          <w:rFonts w:hint="eastAsia" w:hAnsi="宋体"/>
          <w:szCs w:val="28"/>
        </w:rPr>
        <w:t>指标权重合计</w:t>
      </w:r>
      <w:r>
        <w:rPr>
          <w:rFonts w:hAnsi="宋体"/>
          <w:szCs w:val="28"/>
        </w:rPr>
        <w:t>10</w:t>
      </w:r>
      <w:r>
        <w:rPr>
          <w:rFonts w:hint="eastAsia" w:hAnsi="宋体"/>
          <w:szCs w:val="28"/>
        </w:rPr>
        <w:t>分，自评得分</w:t>
      </w:r>
      <w:r>
        <w:rPr>
          <w:rFonts w:hAnsi="宋体"/>
          <w:szCs w:val="28"/>
        </w:rPr>
        <w:t>10</w:t>
      </w:r>
      <w:r>
        <w:rPr>
          <w:rFonts w:hint="eastAsia" w:hAnsi="宋体"/>
          <w:szCs w:val="28"/>
        </w:rPr>
        <w:t>分，得分率为</w:t>
      </w:r>
      <w:r>
        <w:rPr>
          <w:rFonts w:hAnsi="宋体"/>
          <w:szCs w:val="28"/>
        </w:rPr>
        <w:t>100</w:t>
      </w:r>
      <w:r>
        <w:rPr>
          <w:rFonts w:hint="eastAsia" w:hAnsi="宋体"/>
          <w:szCs w:val="28"/>
        </w:rPr>
        <w:t>%。</w:t>
      </w:r>
    </w:p>
    <w:tbl>
      <w:tblPr>
        <w:tblStyle w:val="18"/>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1559"/>
        <w:gridCol w:w="1560"/>
        <w:gridCol w:w="850"/>
        <w:gridCol w:w="851"/>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2405"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hint="eastAsia" w:ascii="仿宋_GB2312" w:hAnsi="宋体" w:eastAsia="仿宋_GB2312" w:cs="宋体"/>
                <w:b/>
                <w:bCs/>
                <w:color w:val="000000"/>
                <w:kern w:val="0"/>
                <w:sz w:val="24"/>
                <w:szCs w:val="24"/>
              </w:rPr>
              <w:t>三级指标</w:t>
            </w:r>
          </w:p>
        </w:tc>
        <w:tc>
          <w:tcPr>
            <w:tcW w:w="1559"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hint="eastAsia" w:ascii="仿宋_GB2312" w:hAnsi="宋体" w:eastAsia="仿宋_GB2312" w:cs="宋体"/>
                <w:b/>
                <w:bCs/>
                <w:color w:val="000000"/>
                <w:kern w:val="0"/>
                <w:sz w:val="24"/>
                <w:szCs w:val="24"/>
              </w:rPr>
              <w:t>年度指标值</w:t>
            </w:r>
          </w:p>
        </w:tc>
        <w:tc>
          <w:tcPr>
            <w:tcW w:w="1560"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hint="eastAsia" w:ascii="仿宋_GB2312" w:hAnsi="宋体" w:eastAsia="仿宋_GB2312" w:cs="宋体"/>
                <w:b/>
                <w:bCs/>
                <w:color w:val="000000"/>
                <w:kern w:val="0"/>
                <w:sz w:val="24"/>
                <w:szCs w:val="24"/>
              </w:rPr>
              <w:t>实际完成值</w:t>
            </w:r>
          </w:p>
        </w:tc>
        <w:tc>
          <w:tcPr>
            <w:tcW w:w="850"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分值</w:t>
            </w:r>
          </w:p>
        </w:tc>
        <w:tc>
          <w:tcPr>
            <w:tcW w:w="851"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hint="eastAsia" w:ascii="仿宋_GB2312" w:hAnsi="宋体" w:eastAsia="仿宋_GB2312" w:cs="宋体"/>
                <w:b/>
                <w:bCs/>
                <w:color w:val="000000"/>
                <w:kern w:val="0"/>
                <w:sz w:val="24"/>
                <w:szCs w:val="24"/>
              </w:rPr>
              <w:t>得分</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hint="eastAsia" w:ascii="仿宋_GB2312" w:hAnsi="宋体" w:eastAsia="仿宋_GB2312" w:cs="宋体"/>
                <w:b/>
                <w:bCs/>
                <w:color w:val="000000"/>
                <w:kern w:val="0"/>
                <w:sz w:val="24"/>
                <w:szCs w:val="24"/>
              </w:rPr>
              <w:t>得分率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5"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hint="eastAsia" w:ascii="仿宋_GB2312" w:hAnsi="宋体" w:eastAsia="仿宋_GB2312" w:cs="宋体"/>
                <w:color w:val="000000"/>
                <w:kern w:val="0"/>
                <w:sz w:val="24"/>
                <w:szCs w:val="24"/>
              </w:rPr>
              <w:t>调研成果满意度</w:t>
            </w:r>
          </w:p>
        </w:tc>
        <w:tc>
          <w:tcPr>
            <w:tcW w:w="1559"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hint="eastAsia" w:ascii="仿宋_GB2312" w:hAnsi="宋体" w:eastAsia="仿宋_GB2312" w:cs="宋体"/>
                <w:color w:val="000000"/>
                <w:kern w:val="0"/>
                <w:sz w:val="24"/>
                <w:szCs w:val="24"/>
              </w:rPr>
              <w:t>≥9</w:t>
            </w:r>
            <w:r>
              <w:rPr>
                <w:rFonts w:ascii="仿宋_GB2312" w:hAnsi="宋体" w:eastAsia="仿宋_GB2312" w:cs="宋体"/>
                <w:color w:val="000000"/>
                <w:kern w:val="0"/>
                <w:sz w:val="24"/>
                <w:szCs w:val="24"/>
              </w:rPr>
              <w:t>5%</w:t>
            </w:r>
          </w:p>
        </w:tc>
        <w:tc>
          <w:tcPr>
            <w:tcW w:w="1560"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ascii="仿宋_GB2312" w:hAnsi="宋体" w:eastAsia="仿宋_GB2312" w:cs="宋体"/>
                <w:color w:val="000000"/>
                <w:kern w:val="0"/>
                <w:sz w:val="24"/>
                <w:szCs w:val="24"/>
              </w:rPr>
              <w:t>95%</w:t>
            </w:r>
          </w:p>
        </w:tc>
        <w:tc>
          <w:tcPr>
            <w:tcW w:w="850"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w:t>
            </w:r>
          </w:p>
        </w:tc>
        <w:tc>
          <w:tcPr>
            <w:tcW w:w="851"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hint="eastAsia" w:ascii="仿宋_GB2312" w:eastAsia="仿宋_GB2312"/>
                <w:sz w:val="24"/>
                <w:szCs w:val="24"/>
              </w:rPr>
              <w:t>5</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ascii="仿宋_GB2312" w:hAnsi="宋体" w:eastAsia="仿宋_GB2312" w:cs="宋体"/>
                <w:color w:val="000000"/>
                <w:kern w:val="0"/>
                <w:sz w:val="24"/>
                <w:szCs w:val="24"/>
              </w:rPr>
              <w:t>100</w:t>
            </w:r>
            <w:r>
              <w:rPr>
                <w:rFonts w:hint="eastAsia" w:ascii="仿宋_GB2312" w:hAnsi="宋体" w:eastAsia="仿宋_GB2312" w:cs="宋体"/>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5"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社会满意度</w:t>
            </w:r>
          </w:p>
        </w:tc>
        <w:tc>
          <w:tcPr>
            <w:tcW w:w="1559"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≥9</w:t>
            </w:r>
            <w:r>
              <w:rPr>
                <w:rFonts w:ascii="仿宋_GB2312" w:hAnsi="宋体" w:eastAsia="仿宋_GB2312" w:cs="宋体"/>
                <w:color w:val="000000"/>
                <w:kern w:val="0"/>
                <w:sz w:val="24"/>
                <w:szCs w:val="24"/>
              </w:rPr>
              <w:t>5%</w:t>
            </w:r>
          </w:p>
        </w:tc>
        <w:tc>
          <w:tcPr>
            <w:tcW w:w="1560"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hAnsi="宋体" w:eastAsia="仿宋_GB2312" w:cs="宋体"/>
                <w:color w:val="000000"/>
                <w:kern w:val="0"/>
                <w:sz w:val="24"/>
                <w:szCs w:val="24"/>
              </w:rPr>
            </w:pPr>
            <w:r>
              <w:rPr>
                <w:rFonts w:ascii="仿宋_GB2312" w:hAnsi="宋体" w:eastAsia="仿宋_GB2312" w:cs="宋体"/>
                <w:color w:val="000000"/>
                <w:kern w:val="0"/>
                <w:sz w:val="24"/>
                <w:szCs w:val="24"/>
              </w:rPr>
              <w:t>95%</w:t>
            </w:r>
          </w:p>
        </w:tc>
        <w:tc>
          <w:tcPr>
            <w:tcW w:w="850"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w:t>
            </w:r>
          </w:p>
        </w:tc>
        <w:tc>
          <w:tcPr>
            <w:tcW w:w="851"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sz w:val="24"/>
                <w:szCs w:val="24"/>
              </w:rPr>
            </w:pPr>
            <w:r>
              <w:rPr>
                <w:rFonts w:hint="eastAsia" w:ascii="仿宋_GB2312" w:eastAsia="仿宋_GB2312"/>
                <w:sz w:val="24"/>
                <w:szCs w:val="24"/>
              </w:rPr>
              <w:t>5</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hAnsi="宋体" w:eastAsia="仿宋_GB2312" w:cs="宋体"/>
                <w:color w:val="000000"/>
                <w:kern w:val="0"/>
                <w:sz w:val="24"/>
                <w:szCs w:val="24"/>
              </w:rPr>
            </w:pPr>
            <w:r>
              <w:rPr>
                <w:rFonts w:ascii="仿宋_GB2312" w:hAnsi="宋体" w:eastAsia="仿宋_GB2312" w:cs="宋体"/>
                <w:color w:val="000000"/>
                <w:kern w:val="0"/>
                <w:sz w:val="24"/>
                <w:szCs w:val="24"/>
              </w:rPr>
              <w:t>100</w:t>
            </w:r>
            <w:r>
              <w:rPr>
                <w:rFonts w:hint="eastAsia" w:ascii="仿宋_GB2312" w:hAnsi="宋体" w:eastAsia="仿宋_GB2312" w:cs="宋体"/>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24" w:type="dxa"/>
            <w:gridSpan w:val="3"/>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b/>
                <w:bCs/>
                <w:sz w:val="24"/>
                <w:szCs w:val="24"/>
              </w:rPr>
            </w:pPr>
            <w:r>
              <w:rPr>
                <w:rFonts w:hint="eastAsia" w:ascii="仿宋_GB2312" w:hAnsi="宋体" w:eastAsia="仿宋_GB2312" w:cs="宋体"/>
                <w:b/>
                <w:bCs/>
                <w:color w:val="000000"/>
                <w:kern w:val="0"/>
                <w:sz w:val="24"/>
                <w:szCs w:val="24"/>
              </w:rPr>
              <w:t>合计</w:t>
            </w:r>
          </w:p>
        </w:tc>
        <w:tc>
          <w:tcPr>
            <w:tcW w:w="850"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1</w:t>
            </w:r>
            <w:r>
              <w:rPr>
                <w:rFonts w:ascii="仿宋_GB2312" w:hAnsi="宋体" w:eastAsia="仿宋_GB2312" w:cs="宋体"/>
                <w:b/>
                <w:bCs/>
                <w:color w:val="000000"/>
                <w:kern w:val="0"/>
                <w:sz w:val="24"/>
                <w:szCs w:val="24"/>
              </w:rPr>
              <w:t>0</w:t>
            </w:r>
          </w:p>
        </w:tc>
        <w:tc>
          <w:tcPr>
            <w:tcW w:w="851"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b/>
                <w:bCs/>
                <w:sz w:val="24"/>
                <w:szCs w:val="24"/>
              </w:rPr>
            </w:pPr>
            <w:r>
              <w:rPr>
                <w:rFonts w:hint="eastAsia" w:ascii="仿宋_GB2312" w:eastAsia="仿宋_GB2312"/>
                <w:b/>
                <w:bCs/>
                <w:sz w:val="24"/>
                <w:szCs w:val="24"/>
              </w:rPr>
              <w:t>1</w:t>
            </w:r>
            <w:r>
              <w:rPr>
                <w:rFonts w:ascii="仿宋_GB2312" w:eastAsia="仿宋_GB2312"/>
                <w:b/>
                <w:bCs/>
                <w:sz w:val="24"/>
                <w:szCs w:val="24"/>
              </w:rPr>
              <w:t>0</w:t>
            </w:r>
          </w:p>
        </w:tc>
        <w:tc>
          <w:tcPr>
            <w:tcW w:w="1134" w:type="dxa"/>
            <w:tcBorders>
              <w:top w:val="single" w:color="auto" w:sz="4" w:space="0"/>
              <w:left w:val="single" w:color="auto" w:sz="4" w:space="0"/>
              <w:bottom w:val="single" w:color="auto" w:sz="4" w:space="0"/>
              <w:right w:val="single" w:color="auto" w:sz="4" w:space="0"/>
            </w:tcBorders>
            <w:vAlign w:val="center"/>
          </w:tcPr>
          <w:p>
            <w:pPr>
              <w:pStyle w:val="6"/>
              <w:spacing w:line="240" w:lineRule="auto"/>
              <w:ind w:firstLine="0" w:firstLineChars="0"/>
              <w:jc w:val="center"/>
              <w:rPr>
                <w:rFonts w:ascii="仿宋_GB2312" w:eastAsia="仿宋_GB2312"/>
                <w:b/>
                <w:bCs/>
                <w:sz w:val="24"/>
                <w:szCs w:val="24"/>
              </w:rPr>
            </w:pPr>
            <w:r>
              <w:rPr>
                <w:rFonts w:ascii="仿宋_GB2312" w:eastAsia="仿宋_GB2312"/>
                <w:b/>
                <w:bCs/>
                <w:sz w:val="24"/>
                <w:szCs w:val="24"/>
              </w:rPr>
              <w:t>100</w:t>
            </w:r>
            <w:r>
              <w:rPr>
                <w:rFonts w:hint="eastAsia" w:ascii="仿宋_GB2312" w:eastAsia="仿宋_GB2312"/>
                <w:b/>
                <w:bCs/>
                <w:sz w:val="24"/>
                <w:szCs w:val="24"/>
              </w:rPr>
              <w:t>%</w:t>
            </w:r>
          </w:p>
        </w:tc>
      </w:tr>
    </w:tbl>
    <w:p>
      <w:pPr>
        <w:ind w:firstLine="562"/>
        <w:rPr>
          <w:b/>
          <w:bCs/>
          <w:szCs w:val="28"/>
        </w:rPr>
      </w:pPr>
      <w:r>
        <w:rPr>
          <w:rFonts w:hint="eastAsia"/>
          <w:b/>
          <w:bCs/>
          <w:szCs w:val="28"/>
        </w:rPr>
        <w:t>调研成果满意度：</w:t>
      </w:r>
      <w:r>
        <w:rPr>
          <w:rFonts w:hint="eastAsia"/>
          <w:szCs w:val="28"/>
        </w:rPr>
        <w:t>我单位不断推进反映社情民意信息工作，发动全省各级组织和党员参与其中，形成调研报告及相关建议，调研成果满意度为95%。</w:t>
      </w:r>
      <w:r>
        <w:rPr>
          <w:rFonts w:hint="eastAsia" w:hAnsi="宋体"/>
          <w:szCs w:val="28"/>
        </w:rPr>
        <w:t>指标权重5分，自评得分5分，得分率1</w:t>
      </w:r>
      <w:r>
        <w:rPr>
          <w:rFonts w:hAnsi="宋体"/>
          <w:szCs w:val="28"/>
        </w:rPr>
        <w:t>00</w:t>
      </w:r>
      <w:r>
        <w:rPr>
          <w:rFonts w:hint="eastAsia" w:hAnsi="宋体"/>
          <w:szCs w:val="28"/>
        </w:rPr>
        <w:t>%。</w:t>
      </w:r>
    </w:p>
    <w:p>
      <w:pPr>
        <w:ind w:firstLine="562"/>
        <w:rPr>
          <w:rFonts w:hAnsi="宋体"/>
          <w:szCs w:val="28"/>
        </w:rPr>
      </w:pPr>
      <w:r>
        <w:rPr>
          <w:rFonts w:hint="eastAsia"/>
          <w:b/>
          <w:bCs/>
          <w:szCs w:val="28"/>
        </w:rPr>
        <w:t>社会满意度：</w:t>
      </w:r>
      <w:r>
        <w:rPr>
          <w:rFonts w:hint="eastAsia"/>
          <w:szCs w:val="28"/>
        </w:rPr>
        <w:t>我单位紧紧围绕全省改革发展大事和民生要事进行建言资政，</w:t>
      </w:r>
      <w:r>
        <w:rPr>
          <w:rFonts w:hint="eastAsia" w:hAnsi="宋体"/>
          <w:szCs w:val="28"/>
        </w:rPr>
        <w:t>为社会大众整体利益发声，工作取得良好成效，社会大众满意度达9</w:t>
      </w:r>
      <w:r>
        <w:rPr>
          <w:rFonts w:hAnsi="宋体"/>
          <w:szCs w:val="28"/>
        </w:rPr>
        <w:t>5</w:t>
      </w:r>
      <w:r>
        <w:rPr>
          <w:rFonts w:hint="eastAsia" w:hAnsi="宋体"/>
          <w:szCs w:val="28"/>
        </w:rPr>
        <w:t>%。指标权重5分，自评得分5分，得分率1</w:t>
      </w:r>
      <w:r>
        <w:rPr>
          <w:rFonts w:hAnsi="宋体"/>
          <w:szCs w:val="28"/>
        </w:rPr>
        <w:t>00</w:t>
      </w:r>
      <w:r>
        <w:rPr>
          <w:rFonts w:hint="eastAsia" w:hAnsi="宋体"/>
          <w:szCs w:val="28"/>
        </w:rPr>
        <w:t>%。</w:t>
      </w:r>
    </w:p>
    <w:p>
      <w:pPr>
        <w:pStyle w:val="4"/>
        <w:ind w:firstLine="562"/>
        <w:rPr>
          <w:szCs w:val="28"/>
        </w:rPr>
      </w:pPr>
      <w:bookmarkStart w:id="46" w:name="_Toc40046043"/>
      <w:r>
        <w:rPr>
          <w:rFonts w:hint="eastAsia"/>
          <w:szCs w:val="28"/>
        </w:rPr>
        <w:t>4</w:t>
      </w:r>
      <w:r>
        <w:rPr>
          <w:rFonts w:hint="eastAsia" w:hAnsi="宋体"/>
          <w:szCs w:val="28"/>
        </w:rPr>
        <w:t>、</w:t>
      </w:r>
      <w:r>
        <w:rPr>
          <w:rFonts w:hint="eastAsia"/>
          <w:szCs w:val="28"/>
        </w:rPr>
        <w:t>偏离绩效目标的原因及下一步改进措施</w:t>
      </w:r>
      <w:bookmarkEnd w:id="46"/>
    </w:p>
    <w:p>
      <w:pPr>
        <w:ind w:firstLine="562"/>
        <w:rPr>
          <w:b/>
          <w:bCs/>
        </w:rPr>
      </w:pPr>
      <w:r>
        <w:rPr>
          <w:rFonts w:hint="eastAsia"/>
          <w:b/>
          <w:bCs/>
        </w:rPr>
        <w:t>（1）开展调研次数</w:t>
      </w:r>
    </w:p>
    <w:p>
      <w:pPr>
        <w:ind w:firstLine="560"/>
        <w:rPr>
          <w:color w:val="auto"/>
        </w:rPr>
      </w:pPr>
      <w:r>
        <w:rPr>
          <w:color w:val="auto"/>
        </w:rPr>
        <w:t>偏差原因：年初设置目标次数偏低，本年工作开展情况良好，调研次数达到</w:t>
      </w:r>
      <w:r>
        <w:rPr>
          <w:rFonts w:hint="eastAsia"/>
          <w:color w:val="auto"/>
        </w:rPr>
        <w:t>1</w:t>
      </w:r>
      <w:r>
        <w:rPr>
          <w:color w:val="auto"/>
        </w:rPr>
        <w:t>5次，工作完成度</w:t>
      </w:r>
      <w:r>
        <w:rPr>
          <w:rFonts w:hint="eastAsia"/>
          <w:color w:val="auto"/>
        </w:rPr>
        <w:t>高。</w:t>
      </w:r>
    </w:p>
    <w:p>
      <w:pPr>
        <w:ind w:firstLine="560"/>
        <w:rPr>
          <w:color w:val="auto"/>
        </w:rPr>
      </w:pPr>
      <w:r>
        <w:rPr>
          <w:color w:val="auto"/>
        </w:rPr>
        <w:t>改进措施：</w:t>
      </w:r>
      <w:r>
        <w:rPr>
          <w:rFonts w:hint="eastAsia"/>
          <w:color w:val="auto"/>
        </w:rPr>
        <w:t>在目标值设置合理的前提下，严格按照工作计划和年初预算安排工作。</w:t>
      </w:r>
    </w:p>
    <w:p>
      <w:pPr>
        <w:ind w:firstLine="562"/>
        <w:rPr>
          <w:b/>
          <w:bCs/>
        </w:rPr>
      </w:pPr>
      <w:r>
        <w:rPr>
          <w:rFonts w:hint="eastAsia"/>
          <w:b/>
          <w:bCs/>
        </w:rPr>
        <w:t>（2）开展社会服务及下乡帮扶次数</w:t>
      </w:r>
    </w:p>
    <w:p>
      <w:pPr>
        <w:ind w:firstLine="562"/>
        <w:rPr>
          <w:rFonts w:hint="eastAsia"/>
        </w:rPr>
      </w:pPr>
      <w:r>
        <w:rPr>
          <w:rFonts w:hint="eastAsia"/>
        </w:rPr>
        <w:t>偏差原因：年初设置目标次数偏低，本年工作开展情况良好，开展社会服务及下乡帮扶7次，工作完成度高。</w:t>
      </w:r>
    </w:p>
    <w:p>
      <w:pPr>
        <w:ind w:firstLine="562"/>
        <w:rPr>
          <w:rFonts w:hint="eastAsia"/>
        </w:rPr>
      </w:pPr>
      <w:r>
        <w:rPr>
          <w:rFonts w:hint="eastAsia"/>
        </w:rPr>
        <w:t>改进措施：在目标值设置合理的前提下，严格按照工作计划和年初预算安排工作。</w:t>
      </w:r>
    </w:p>
    <w:p>
      <w:pPr>
        <w:ind w:firstLine="562"/>
        <w:rPr>
          <w:b/>
          <w:bCs/>
        </w:rPr>
      </w:pPr>
      <w:r>
        <w:rPr>
          <w:rFonts w:hint="eastAsia"/>
          <w:b/>
          <w:bCs/>
        </w:rPr>
        <w:t>（3）培训次数</w:t>
      </w:r>
    </w:p>
    <w:p>
      <w:pPr>
        <w:ind w:firstLine="560"/>
      </w:pPr>
      <w:r>
        <w:rPr>
          <w:rFonts w:hint="eastAsia"/>
          <w:lang w:eastAsia="zh-CN"/>
        </w:rPr>
        <w:t>偏差原因：</w:t>
      </w:r>
      <w:r>
        <w:rPr>
          <w:rFonts w:hint="eastAsia"/>
        </w:rPr>
        <w:t>2021年我单位因受疫情影响，我单位本年度举办培训班1期。</w:t>
      </w:r>
    </w:p>
    <w:p>
      <w:pPr>
        <w:ind w:firstLine="560" w:firstLineChars="200"/>
      </w:pPr>
      <w:r>
        <w:rPr>
          <w:rFonts w:hint="eastAsia"/>
          <w:lang w:eastAsia="zh-CN"/>
        </w:rPr>
        <w:t>改进措施：</w:t>
      </w:r>
      <w:r>
        <w:rPr>
          <w:rFonts w:hint="eastAsia"/>
        </w:rPr>
        <w:t>我单位在以后将严格按照年度工作计划及年初预算工作安排开展。</w:t>
      </w:r>
    </w:p>
    <w:p>
      <w:pPr>
        <w:pStyle w:val="2"/>
      </w:pPr>
      <w:bookmarkStart w:id="47" w:name="_Toc40046064"/>
      <w:bookmarkStart w:id="48" w:name="_Toc64058495"/>
      <w:bookmarkStart w:id="49" w:name="_Toc96423027"/>
      <w:r>
        <w:rPr>
          <w:rFonts w:hint="eastAsia"/>
        </w:rPr>
        <w:t>五、部门管理的省对市县转移支付绩效自评情况分析</w:t>
      </w:r>
      <w:bookmarkEnd w:id="47"/>
      <w:bookmarkEnd w:id="48"/>
      <w:bookmarkEnd w:id="49"/>
    </w:p>
    <w:p>
      <w:pPr>
        <w:ind w:firstLine="560"/>
      </w:pPr>
      <w:r>
        <w:rPr>
          <w:rFonts w:hint="eastAsia"/>
        </w:rPr>
        <w:t>无</w:t>
      </w:r>
    </w:p>
    <w:p>
      <w:pPr>
        <w:pStyle w:val="2"/>
      </w:pPr>
      <w:bookmarkStart w:id="50" w:name="_Toc64058497"/>
      <w:bookmarkStart w:id="51" w:name="_Toc7144"/>
      <w:bookmarkStart w:id="52" w:name="_Toc8638"/>
      <w:bookmarkStart w:id="53" w:name="_Toc96423028"/>
      <w:r>
        <w:rPr>
          <w:rFonts w:hint="eastAsia"/>
        </w:rPr>
        <w:t>六、绩效自评结果拟应用和公开情况</w:t>
      </w:r>
      <w:bookmarkEnd w:id="50"/>
      <w:bookmarkEnd w:id="51"/>
      <w:bookmarkEnd w:id="52"/>
      <w:bookmarkEnd w:id="53"/>
    </w:p>
    <w:p>
      <w:pPr>
        <w:widowControl/>
        <w:ind w:firstLine="560"/>
        <w:jc w:val="left"/>
        <w:rPr>
          <w:rFonts w:hAnsi="宋体"/>
          <w:szCs w:val="28"/>
        </w:rPr>
      </w:pPr>
      <w:r>
        <w:rPr>
          <w:rFonts w:hint="eastAsia" w:hAnsi="宋体"/>
          <w:szCs w:val="28"/>
        </w:rPr>
        <w:t>绩效自评结果的应用是单位完善政策和改进管理的重要依据，单位要加强评价结果的应用。根据政策文件规定，我单位绩效自评结果将随同2021年度单位决算同步公开。</w:t>
      </w:r>
    </w:p>
    <w:p>
      <w:pPr>
        <w:pStyle w:val="2"/>
      </w:pPr>
      <w:bookmarkStart w:id="54" w:name="_Toc40046066"/>
      <w:bookmarkStart w:id="55" w:name="_Toc64058498"/>
      <w:bookmarkStart w:id="56" w:name="_Toc96423029"/>
      <w:r>
        <w:rPr>
          <w:rFonts w:hint="eastAsia"/>
        </w:rPr>
        <w:t>七、其他需要说明的问题</w:t>
      </w:r>
      <w:bookmarkEnd w:id="54"/>
      <w:bookmarkEnd w:id="55"/>
      <w:bookmarkEnd w:id="56"/>
    </w:p>
    <w:p>
      <w:pPr>
        <w:widowControl/>
        <w:ind w:firstLine="560"/>
        <w:jc w:val="left"/>
        <w:rPr>
          <w:rFonts w:hAnsi="宋体"/>
          <w:szCs w:val="28"/>
        </w:rPr>
        <w:sectPr>
          <w:footerReference r:id="rId11" w:type="default"/>
          <w:pgSz w:w="11906" w:h="16838"/>
          <w:pgMar w:top="1440" w:right="1800" w:bottom="1440" w:left="1800" w:header="851" w:footer="992" w:gutter="0"/>
          <w:pgNumType w:start="1"/>
          <w:cols w:space="425" w:num="1"/>
          <w:docGrid w:type="lines" w:linePitch="381" w:charSpace="0"/>
        </w:sectPr>
      </w:pPr>
      <w:r>
        <w:rPr>
          <w:rFonts w:hint="eastAsia" w:hAnsi="宋体"/>
          <w:szCs w:val="28"/>
        </w:rPr>
        <w:t>无</w:t>
      </w:r>
      <w:bookmarkStart w:id="57" w:name="_GoBack"/>
      <w:bookmarkEnd w:id="57"/>
    </w:p>
    <w:p>
      <w:pPr>
        <w:keepNext w:val="0"/>
        <w:keepLines w:val="0"/>
        <w:pageBreakBefore w:val="0"/>
        <w:widowControl w:val="0"/>
        <w:kinsoku/>
        <w:wordWrap/>
        <w:overflowPunct/>
        <w:topLinePunct w:val="0"/>
        <w:autoSpaceDE/>
        <w:autoSpaceDN/>
        <w:bidi w:val="0"/>
        <w:adjustRightInd/>
        <w:snapToGrid/>
        <w:spacing w:line="40" w:lineRule="exact"/>
        <w:ind w:left="0" w:leftChars="0" w:firstLine="0" w:firstLineChars="0"/>
        <w:textAlignment w:val="auto"/>
      </w:pPr>
    </w:p>
    <w:sectPr>
      <w:pgSz w:w="16838" w:h="11906" w:orient="landscape"/>
      <w:pgMar w:top="1797" w:right="1440" w:bottom="1797" w:left="1440" w:header="851" w:footer="992" w:gutter="0"/>
      <w:cols w:space="425" w:num="1"/>
      <w:docGrid w:type="linesAndChar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jc w:val="center"/>
    </w:pPr>
  </w:p>
  <w:p>
    <w:pPr>
      <w:pStyle w:val="1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43966314"/>
    </w:sdtPr>
    <w:sdtContent>
      <w:p>
        <w:pPr>
          <w:pStyle w:val="10"/>
          <w:ind w:firstLine="360"/>
          <w:jc w:val="center"/>
        </w:pPr>
        <w:r>
          <w:fldChar w:fldCharType="begin"/>
        </w:r>
        <w:r>
          <w:instrText xml:space="preserve">PAGE   \* MERGEFORMAT</w:instrText>
        </w:r>
        <w:r>
          <w:fldChar w:fldCharType="separate"/>
        </w:r>
        <w:r>
          <w:rPr>
            <w:lang w:val="zh-CN"/>
          </w:rPr>
          <w:t>39</w:t>
        </w:r>
        <w:r>
          <w:rPr>
            <w:lang w:val="zh-CN"/>
          </w:rPr>
          <w:fldChar w:fldCharType="end"/>
        </w:r>
      </w:p>
    </w:sdtContent>
  </w:sdt>
  <w:p>
    <w:pPr>
      <w:pStyle w:val="1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hideSpellingErrors/>
  <w:hideGrammaticalErrors/>
  <w:documentProtection w:enforcement="0"/>
  <w:defaultTabStop w:val="4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U4Mzc0YzQ2MTRlMTExOGUyOGEyMzRkNGU3MTdjYjEifQ=="/>
  </w:docVars>
  <w:rsids>
    <w:rsidRoot w:val="00652D58"/>
    <w:rsid w:val="00000EAA"/>
    <w:rsid w:val="00014D8D"/>
    <w:rsid w:val="00014ECA"/>
    <w:rsid w:val="00015A60"/>
    <w:rsid w:val="000213E1"/>
    <w:rsid w:val="00023797"/>
    <w:rsid w:val="00030303"/>
    <w:rsid w:val="00030D22"/>
    <w:rsid w:val="00030D44"/>
    <w:rsid w:val="0003251B"/>
    <w:rsid w:val="0003556E"/>
    <w:rsid w:val="00036419"/>
    <w:rsid w:val="00037677"/>
    <w:rsid w:val="00040527"/>
    <w:rsid w:val="000438ED"/>
    <w:rsid w:val="0004401C"/>
    <w:rsid w:val="00044DD1"/>
    <w:rsid w:val="00045E47"/>
    <w:rsid w:val="0004679B"/>
    <w:rsid w:val="00050062"/>
    <w:rsid w:val="00050C68"/>
    <w:rsid w:val="00051050"/>
    <w:rsid w:val="00054571"/>
    <w:rsid w:val="00054BF9"/>
    <w:rsid w:val="00055545"/>
    <w:rsid w:val="00056F3E"/>
    <w:rsid w:val="00057C3C"/>
    <w:rsid w:val="00064BA0"/>
    <w:rsid w:val="0006659C"/>
    <w:rsid w:val="000768BF"/>
    <w:rsid w:val="00076D90"/>
    <w:rsid w:val="0008092A"/>
    <w:rsid w:val="00080F05"/>
    <w:rsid w:val="000824D5"/>
    <w:rsid w:val="00083C9D"/>
    <w:rsid w:val="00083EB0"/>
    <w:rsid w:val="000857E7"/>
    <w:rsid w:val="00093D74"/>
    <w:rsid w:val="000966CE"/>
    <w:rsid w:val="00096719"/>
    <w:rsid w:val="0009789F"/>
    <w:rsid w:val="000A3069"/>
    <w:rsid w:val="000A3174"/>
    <w:rsid w:val="000A6781"/>
    <w:rsid w:val="000B162D"/>
    <w:rsid w:val="000B4753"/>
    <w:rsid w:val="000B499A"/>
    <w:rsid w:val="000B5EE8"/>
    <w:rsid w:val="000B7A48"/>
    <w:rsid w:val="000C5001"/>
    <w:rsid w:val="000C7A34"/>
    <w:rsid w:val="000C7FC6"/>
    <w:rsid w:val="000D02CC"/>
    <w:rsid w:val="000D4EEA"/>
    <w:rsid w:val="000E1F2F"/>
    <w:rsid w:val="000E21DD"/>
    <w:rsid w:val="000E4E43"/>
    <w:rsid w:val="000E674A"/>
    <w:rsid w:val="000E7EEC"/>
    <w:rsid w:val="000F236F"/>
    <w:rsid w:val="001043F0"/>
    <w:rsid w:val="00104D4A"/>
    <w:rsid w:val="00107B85"/>
    <w:rsid w:val="00110405"/>
    <w:rsid w:val="001115C8"/>
    <w:rsid w:val="001144A3"/>
    <w:rsid w:val="0011519A"/>
    <w:rsid w:val="001158AE"/>
    <w:rsid w:val="0011742F"/>
    <w:rsid w:val="00120A93"/>
    <w:rsid w:val="001218CA"/>
    <w:rsid w:val="00123295"/>
    <w:rsid w:val="00127AE4"/>
    <w:rsid w:val="001318D6"/>
    <w:rsid w:val="00142AAB"/>
    <w:rsid w:val="001469EA"/>
    <w:rsid w:val="00146AFC"/>
    <w:rsid w:val="00147219"/>
    <w:rsid w:val="00151394"/>
    <w:rsid w:val="001634DF"/>
    <w:rsid w:val="0016489D"/>
    <w:rsid w:val="00166D33"/>
    <w:rsid w:val="00170D1B"/>
    <w:rsid w:val="0017471F"/>
    <w:rsid w:val="00175D09"/>
    <w:rsid w:val="0017794A"/>
    <w:rsid w:val="001866A8"/>
    <w:rsid w:val="0018791C"/>
    <w:rsid w:val="00187D6E"/>
    <w:rsid w:val="0019558D"/>
    <w:rsid w:val="0019687D"/>
    <w:rsid w:val="001971E3"/>
    <w:rsid w:val="00197906"/>
    <w:rsid w:val="001A6A95"/>
    <w:rsid w:val="001A6D1A"/>
    <w:rsid w:val="001A7769"/>
    <w:rsid w:val="001B1D4C"/>
    <w:rsid w:val="001B5C69"/>
    <w:rsid w:val="001B5CD2"/>
    <w:rsid w:val="001B6770"/>
    <w:rsid w:val="001B7165"/>
    <w:rsid w:val="001C528D"/>
    <w:rsid w:val="001C61A4"/>
    <w:rsid w:val="001C6480"/>
    <w:rsid w:val="001C7421"/>
    <w:rsid w:val="001D44D2"/>
    <w:rsid w:val="001D6B19"/>
    <w:rsid w:val="001D6C13"/>
    <w:rsid w:val="001E3F74"/>
    <w:rsid w:val="001E60FD"/>
    <w:rsid w:val="001E7EB9"/>
    <w:rsid w:val="001F00DA"/>
    <w:rsid w:val="001F504F"/>
    <w:rsid w:val="001F5884"/>
    <w:rsid w:val="001F60F6"/>
    <w:rsid w:val="00204A98"/>
    <w:rsid w:val="00205DB9"/>
    <w:rsid w:val="00207127"/>
    <w:rsid w:val="00210E3F"/>
    <w:rsid w:val="00213E8A"/>
    <w:rsid w:val="00216967"/>
    <w:rsid w:val="00217014"/>
    <w:rsid w:val="00221093"/>
    <w:rsid w:val="0022632F"/>
    <w:rsid w:val="00234C24"/>
    <w:rsid w:val="002359C2"/>
    <w:rsid w:val="002410C1"/>
    <w:rsid w:val="0024246D"/>
    <w:rsid w:val="00245EF8"/>
    <w:rsid w:val="002478F6"/>
    <w:rsid w:val="00247E57"/>
    <w:rsid w:val="00250CE5"/>
    <w:rsid w:val="00251669"/>
    <w:rsid w:val="00253798"/>
    <w:rsid w:val="002602A0"/>
    <w:rsid w:val="00264319"/>
    <w:rsid w:val="0026449E"/>
    <w:rsid w:val="002644B3"/>
    <w:rsid w:val="002646B4"/>
    <w:rsid w:val="002702B4"/>
    <w:rsid w:val="00270387"/>
    <w:rsid w:val="002708CD"/>
    <w:rsid w:val="00270F57"/>
    <w:rsid w:val="00271551"/>
    <w:rsid w:val="00273A56"/>
    <w:rsid w:val="00274A4C"/>
    <w:rsid w:val="00284101"/>
    <w:rsid w:val="002942DB"/>
    <w:rsid w:val="002A0996"/>
    <w:rsid w:val="002A138B"/>
    <w:rsid w:val="002A2E00"/>
    <w:rsid w:val="002C14E9"/>
    <w:rsid w:val="002C65E1"/>
    <w:rsid w:val="002D1764"/>
    <w:rsid w:val="002D3494"/>
    <w:rsid w:val="002D540D"/>
    <w:rsid w:val="002E0E55"/>
    <w:rsid w:val="002E0F76"/>
    <w:rsid w:val="002E1CBB"/>
    <w:rsid w:val="002E49E9"/>
    <w:rsid w:val="002E56E5"/>
    <w:rsid w:val="002E66E3"/>
    <w:rsid w:val="002F1545"/>
    <w:rsid w:val="002F2330"/>
    <w:rsid w:val="002F4161"/>
    <w:rsid w:val="002F41C2"/>
    <w:rsid w:val="00303AF8"/>
    <w:rsid w:val="00303D48"/>
    <w:rsid w:val="003079AE"/>
    <w:rsid w:val="00310BD0"/>
    <w:rsid w:val="0031124F"/>
    <w:rsid w:val="003157EB"/>
    <w:rsid w:val="00317A62"/>
    <w:rsid w:val="00317D61"/>
    <w:rsid w:val="00324E61"/>
    <w:rsid w:val="00325C0E"/>
    <w:rsid w:val="00326275"/>
    <w:rsid w:val="00327D66"/>
    <w:rsid w:val="00327DA2"/>
    <w:rsid w:val="003347E1"/>
    <w:rsid w:val="003375F0"/>
    <w:rsid w:val="003402F0"/>
    <w:rsid w:val="00341AE4"/>
    <w:rsid w:val="00342010"/>
    <w:rsid w:val="00344D6E"/>
    <w:rsid w:val="00344EC5"/>
    <w:rsid w:val="00347693"/>
    <w:rsid w:val="00347716"/>
    <w:rsid w:val="003513EB"/>
    <w:rsid w:val="00351C8E"/>
    <w:rsid w:val="0035288A"/>
    <w:rsid w:val="00353373"/>
    <w:rsid w:val="00353E91"/>
    <w:rsid w:val="00356C83"/>
    <w:rsid w:val="00361E35"/>
    <w:rsid w:val="003630A1"/>
    <w:rsid w:val="00372B94"/>
    <w:rsid w:val="00375BFC"/>
    <w:rsid w:val="00376661"/>
    <w:rsid w:val="0038204E"/>
    <w:rsid w:val="00382731"/>
    <w:rsid w:val="00383C6B"/>
    <w:rsid w:val="00386ABA"/>
    <w:rsid w:val="00390024"/>
    <w:rsid w:val="00390A2A"/>
    <w:rsid w:val="00393B9F"/>
    <w:rsid w:val="003950A9"/>
    <w:rsid w:val="003A07DB"/>
    <w:rsid w:val="003B0259"/>
    <w:rsid w:val="003C318A"/>
    <w:rsid w:val="003D3432"/>
    <w:rsid w:val="003D4293"/>
    <w:rsid w:val="003D4CF5"/>
    <w:rsid w:val="003D7DA5"/>
    <w:rsid w:val="003E0A7A"/>
    <w:rsid w:val="003E2D60"/>
    <w:rsid w:val="003E77A6"/>
    <w:rsid w:val="003F5943"/>
    <w:rsid w:val="003F69E2"/>
    <w:rsid w:val="00402811"/>
    <w:rsid w:val="00404949"/>
    <w:rsid w:val="00413889"/>
    <w:rsid w:val="0041616C"/>
    <w:rsid w:val="004168A0"/>
    <w:rsid w:val="00423310"/>
    <w:rsid w:val="00426852"/>
    <w:rsid w:val="00426E93"/>
    <w:rsid w:val="00430D29"/>
    <w:rsid w:val="00433ABE"/>
    <w:rsid w:val="00434948"/>
    <w:rsid w:val="00436AD4"/>
    <w:rsid w:val="00437104"/>
    <w:rsid w:val="00441182"/>
    <w:rsid w:val="00441A48"/>
    <w:rsid w:val="00441DED"/>
    <w:rsid w:val="00450988"/>
    <w:rsid w:val="00452EE4"/>
    <w:rsid w:val="004541DC"/>
    <w:rsid w:val="004554DB"/>
    <w:rsid w:val="004557EB"/>
    <w:rsid w:val="00463F4B"/>
    <w:rsid w:val="004663B5"/>
    <w:rsid w:val="00466DA0"/>
    <w:rsid w:val="004706D3"/>
    <w:rsid w:val="00470CA9"/>
    <w:rsid w:val="004737A0"/>
    <w:rsid w:val="004737C5"/>
    <w:rsid w:val="00477568"/>
    <w:rsid w:val="0048049B"/>
    <w:rsid w:val="00480889"/>
    <w:rsid w:val="00483DFE"/>
    <w:rsid w:val="004858AB"/>
    <w:rsid w:val="00485B2E"/>
    <w:rsid w:val="0048753B"/>
    <w:rsid w:val="004906C4"/>
    <w:rsid w:val="00494588"/>
    <w:rsid w:val="004A433D"/>
    <w:rsid w:val="004B3422"/>
    <w:rsid w:val="004B4D89"/>
    <w:rsid w:val="004B6014"/>
    <w:rsid w:val="004B6B3B"/>
    <w:rsid w:val="004C342E"/>
    <w:rsid w:val="004C3985"/>
    <w:rsid w:val="004C4408"/>
    <w:rsid w:val="004C5A69"/>
    <w:rsid w:val="004C63CE"/>
    <w:rsid w:val="004D073A"/>
    <w:rsid w:val="004D4050"/>
    <w:rsid w:val="004D50C9"/>
    <w:rsid w:val="004D5E28"/>
    <w:rsid w:val="004D7481"/>
    <w:rsid w:val="004E081D"/>
    <w:rsid w:val="004E24AA"/>
    <w:rsid w:val="004E3422"/>
    <w:rsid w:val="004E69BB"/>
    <w:rsid w:val="004F16D8"/>
    <w:rsid w:val="004F288A"/>
    <w:rsid w:val="004F3B61"/>
    <w:rsid w:val="004F45E7"/>
    <w:rsid w:val="005007BA"/>
    <w:rsid w:val="00506184"/>
    <w:rsid w:val="005147A9"/>
    <w:rsid w:val="00515336"/>
    <w:rsid w:val="00523542"/>
    <w:rsid w:val="0052530A"/>
    <w:rsid w:val="005264D3"/>
    <w:rsid w:val="0052694A"/>
    <w:rsid w:val="00526A60"/>
    <w:rsid w:val="00527F87"/>
    <w:rsid w:val="00531442"/>
    <w:rsid w:val="00531C61"/>
    <w:rsid w:val="00532A8C"/>
    <w:rsid w:val="00532BCE"/>
    <w:rsid w:val="005343EF"/>
    <w:rsid w:val="00536B92"/>
    <w:rsid w:val="00542C34"/>
    <w:rsid w:val="00543242"/>
    <w:rsid w:val="005433FE"/>
    <w:rsid w:val="0054448D"/>
    <w:rsid w:val="00545820"/>
    <w:rsid w:val="00546C26"/>
    <w:rsid w:val="005563AA"/>
    <w:rsid w:val="00560BDB"/>
    <w:rsid w:val="00560FF2"/>
    <w:rsid w:val="00561186"/>
    <w:rsid w:val="0056253F"/>
    <w:rsid w:val="00562D40"/>
    <w:rsid w:val="005652E3"/>
    <w:rsid w:val="00570223"/>
    <w:rsid w:val="00570247"/>
    <w:rsid w:val="005721A1"/>
    <w:rsid w:val="00577DAE"/>
    <w:rsid w:val="00580EBF"/>
    <w:rsid w:val="00580F1F"/>
    <w:rsid w:val="0058270C"/>
    <w:rsid w:val="005842B6"/>
    <w:rsid w:val="005852D6"/>
    <w:rsid w:val="00586744"/>
    <w:rsid w:val="00586EBD"/>
    <w:rsid w:val="00593157"/>
    <w:rsid w:val="005936DD"/>
    <w:rsid w:val="00595153"/>
    <w:rsid w:val="005A1954"/>
    <w:rsid w:val="005A1D83"/>
    <w:rsid w:val="005A59BB"/>
    <w:rsid w:val="005A6FC9"/>
    <w:rsid w:val="005B3CC1"/>
    <w:rsid w:val="005B425F"/>
    <w:rsid w:val="005C2D75"/>
    <w:rsid w:val="005D274F"/>
    <w:rsid w:val="005D2778"/>
    <w:rsid w:val="005D6171"/>
    <w:rsid w:val="005E1A73"/>
    <w:rsid w:val="005E7309"/>
    <w:rsid w:val="005F0701"/>
    <w:rsid w:val="005F14FC"/>
    <w:rsid w:val="005F22E9"/>
    <w:rsid w:val="005F3795"/>
    <w:rsid w:val="0060121A"/>
    <w:rsid w:val="00601405"/>
    <w:rsid w:val="0060206F"/>
    <w:rsid w:val="006022B9"/>
    <w:rsid w:val="0060337F"/>
    <w:rsid w:val="00603BEC"/>
    <w:rsid w:val="0060545E"/>
    <w:rsid w:val="00610391"/>
    <w:rsid w:val="00611FD1"/>
    <w:rsid w:val="006129AE"/>
    <w:rsid w:val="00614C6E"/>
    <w:rsid w:val="006179FC"/>
    <w:rsid w:val="006240C7"/>
    <w:rsid w:val="006249F7"/>
    <w:rsid w:val="00624B80"/>
    <w:rsid w:val="00626AE8"/>
    <w:rsid w:val="00631154"/>
    <w:rsid w:val="00631265"/>
    <w:rsid w:val="00632412"/>
    <w:rsid w:val="0063417F"/>
    <w:rsid w:val="006401CF"/>
    <w:rsid w:val="00641242"/>
    <w:rsid w:val="00641A9C"/>
    <w:rsid w:val="00645AED"/>
    <w:rsid w:val="00645F07"/>
    <w:rsid w:val="0064607D"/>
    <w:rsid w:val="00646DF6"/>
    <w:rsid w:val="006501A1"/>
    <w:rsid w:val="00652D58"/>
    <w:rsid w:val="006564C1"/>
    <w:rsid w:val="006609FC"/>
    <w:rsid w:val="006620F3"/>
    <w:rsid w:val="00674E66"/>
    <w:rsid w:val="00675765"/>
    <w:rsid w:val="0067590A"/>
    <w:rsid w:val="00676504"/>
    <w:rsid w:val="006769F4"/>
    <w:rsid w:val="006834F9"/>
    <w:rsid w:val="006843CF"/>
    <w:rsid w:val="006850CD"/>
    <w:rsid w:val="0068764C"/>
    <w:rsid w:val="00691BB9"/>
    <w:rsid w:val="00695BF1"/>
    <w:rsid w:val="0069632E"/>
    <w:rsid w:val="006977A0"/>
    <w:rsid w:val="006A279A"/>
    <w:rsid w:val="006B062C"/>
    <w:rsid w:val="006B49EC"/>
    <w:rsid w:val="006C1519"/>
    <w:rsid w:val="006C5EAE"/>
    <w:rsid w:val="006C61D7"/>
    <w:rsid w:val="006C7761"/>
    <w:rsid w:val="006D516C"/>
    <w:rsid w:val="006D77C4"/>
    <w:rsid w:val="006D7925"/>
    <w:rsid w:val="006E271B"/>
    <w:rsid w:val="006E328B"/>
    <w:rsid w:val="006E6104"/>
    <w:rsid w:val="006E75F8"/>
    <w:rsid w:val="006F0E15"/>
    <w:rsid w:val="006F18DA"/>
    <w:rsid w:val="006F598D"/>
    <w:rsid w:val="006F5CB1"/>
    <w:rsid w:val="006F662D"/>
    <w:rsid w:val="006F70D2"/>
    <w:rsid w:val="006F7E6D"/>
    <w:rsid w:val="00705DC4"/>
    <w:rsid w:val="00710ACA"/>
    <w:rsid w:val="00710AD0"/>
    <w:rsid w:val="007128DD"/>
    <w:rsid w:val="0071366B"/>
    <w:rsid w:val="00720B93"/>
    <w:rsid w:val="00723CF1"/>
    <w:rsid w:val="007341EC"/>
    <w:rsid w:val="00735AAD"/>
    <w:rsid w:val="0073698C"/>
    <w:rsid w:val="00736B4E"/>
    <w:rsid w:val="00736BD7"/>
    <w:rsid w:val="00737791"/>
    <w:rsid w:val="00737DEA"/>
    <w:rsid w:val="00742194"/>
    <w:rsid w:val="007423D7"/>
    <w:rsid w:val="00750518"/>
    <w:rsid w:val="0076122E"/>
    <w:rsid w:val="007615BC"/>
    <w:rsid w:val="00762BFF"/>
    <w:rsid w:val="00764EFF"/>
    <w:rsid w:val="00771391"/>
    <w:rsid w:val="007714AB"/>
    <w:rsid w:val="00772C05"/>
    <w:rsid w:val="00774018"/>
    <w:rsid w:val="00774307"/>
    <w:rsid w:val="00777022"/>
    <w:rsid w:val="007829B8"/>
    <w:rsid w:val="00783351"/>
    <w:rsid w:val="00784C7D"/>
    <w:rsid w:val="00784EBE"/>
    <w:rsid w:val="00785F93"/>
    <w:rsid w:val="00786ADA"/>
    <w:rsid w:val="0079678A"/>
    <w:rsid w:val="00797CEA"/>
    <w:rsid w:val="007A085F"/>
    <w:rsid w:val="007A2F27"/>
    <w:rsid w:val="007A6244"/>
    <w:rsid w:val="007A68A7"/>
    <w:rsid w:val="007A7E4A"/>
    <w:rsid w:val="007B236D"/>
    <w:rsid w:val="007B349F"/>
    <w:rsid w:val="007B6DD0"/>
    <w:rsid w:val="007C2C62"/>
    <w:rsid w:val="007C5CD0"/>
    <w:rsid w:val="007C63BA"/>
    <w:rsid w:val="007C6772"/>
    <w:rsid w:val="007C7C37"/>
    <w:rsid w:val="007D5E0C"/>
    <w:rsid w:val="007E16B4"/>
    <w:rsid w:val="007E3139"/>
    <w:rsid w:val="007E5E3E"/>
    <w:rsid w:val="007F02D5"/>
    <w:rsid w:val="007F03B2"/>
    <w:rsid w:val="007F17CE"/>
    <w:rsid w:val="007F18C0"/>
    <w:rsid w:val="007F1BD2"/>
    <w:rsid w:val="007F4B64"/>
    <w:rsid w:val="007F6155"/>
    <w:rsid w:val="007F6CC7"/>
    <w:rsid w:val="007F79F5"/>
    <w:rsid w:val="008009A7"/>
    <w:rsid w:val="00801371"/>
    <w:rsid w:val="00801BF4"/>
    <w:rsid w:val="00815E7F"/>
    <w:rsid w:val="008167FD"/>
    <w:rsid w:val="00820C6C"/>
    <w:rsid w:val="00822B03"/>
    <w:rsid w:val="00823BEF"/>
    <w:rsid w:val="00823CC3"/>
    <w:rsid w:val="00826314"/>
    <w:rsid w:val="008266EB"/>
    <w:rsid w:val="0083275E"/>
    <w:rsid w:val="00832C18"/>
    <w:rsid w:val="00834EDA"/>
    <w:rsid w:val="00835710"/>
    <w:rsid w:val="008360B0"/>
    <w:rsid w:val="00836C6D"/>
    <w:rsid w:val="00836DF2"/>
    <w:rsid w:val="00837799"/>
    <w:rsid w:val="00837D74"/>
    <w:rsid w:val="00840DF1"/>
    <w:rsid w:val="00841C62"/>
    <w:rsid w:val="00851294"/>
    <w:rsid w:val="0085154D"/>
    <w:rsid w:val="00851C16"/>
    <w:rsid w:val="0085480A"/>
    <w:rsid w:val="0085592A"/>
    <w:rsid w:val="008574C6"/>
    <w:rsid w:val="00857699"/>
    <w:rsid w:val="008606AC"/>
    <w:rsid w:val="008615E1"/>
    <w:rsid w:val="00861EBA"/>
    <w:rsid w:val="00863D2C"/>
    <w:rsid w:val="00864D0E"/>
    <w:rsid w:val="00874257"/>
    <w:rsid w:val="0087569A"/>
    <w:rsid w:val="00875E92"/>
    <w:rsid w:val="008761B4"/>
    <w:rsid w:val="00877410"/>
    <w:rsid w:val="0088043A"/>
    <w:rsid w:val="008833E2"/>
    <w:rsid w:val="008839F4"/>
    <w:rsid w:val="00883A2E"/>
    <w:rsid w:val="0088461B"/>
    <w:rsid w:val="00886EE3"/>
    <w:rsid w:val="0089226C"/>
    <w:rsid w:val="00893048"/>
    <w:rsid w:val="00894DB5"/>
    <w:rsid w:val="008A282F"/>
    <w:rsid w:val="008A5960"/>
    <w:rsid w:val="008A74D9"/>
    <w:rsid w:val="008B0E0F"/>
    <w:rsid w:val="008B1BF7"/>
    <w:rsid w:val="008B1FC4"/>
    <w:rsid w:val="008C29BA"/>
    <w:rsid w:val="008C2AA4"/>
    <w:rsid w:val="008D08B8"/>
    <w:rsid w:val="008D2429"/>
    <w:rsid w:val="008D370A"/>
    <w:rsid w:val="008D59CA"/>
    <w:rsid w:val="008E5158"/>
    <w:rsid w:val="008E5D7D"/>
    <w:rsid w:val="008F0773"/>
    <w:rsid w:val="008F402F"/>
    <w:rsid w:val="008F45D4"/>
    <w:rsid w:val="008F59FA"/>
    <w:rsid w:val="008F7FD2"/>
    <w:rsid w:val="009010AF"/>
    <w:rsid w:val="009036C3"/>
    <w:rsid w:val="00903C0D"/>
    <w:rsid w:val="00907177"/>
    <w:rsid w:val="0090767D"/>
    <w:rsid w:val="00907927"/>
    <w:rsid w:val="00912CC1"/>
    <w:rsid w:val="00913015"/>
    <w:rsid w:val="00917714"/>
    <w:rsid w:val="00917B4C"/>
    <w:rsid w:val="00921B33"/>
    <w:rsid w:val="0092332F"/>
    <w:rsid w:val="009257E0"/>
    <w:rsid w:val="00932B5A"/>
    <w:rsid w:val="00932F4F"/>
    <w:rsid w:val="00936BF5"/>
    <w:rsid w:val="00940204"/>
    <w:rsid w:val="00941D6D"/>
    <w:rsid w:val="0094584C"/>
    <w:rsid w:val="00945E76"/>
    <w:rsid w:val="009501A3"/>
    <w:rsid w:val="00950ABA"/>
    <w:rsid w:val="00950CA0"/>
    <w:rsid w:val="00953ACB"/>
    <w:rsid w:val="00953F19"/>
    <w:rsid w:val="00954940"/>
    <w:rsid w:val="00955336"/>
    <w:rsid w:val="009618F9"/>
    <w:rsid w:val="00962555"/>
    <w:rsid w:val="00966C74"/>
    <w:rsid w:val="0096757F"/>
    <w:rsid w:val="00970078"/>
    <w:rsid w:val="0097045A"/>
    <w:rsid w:val="00974B9D"/>
    <w:rsid w:val="00975699"/>
    <w:rsid w:val="009756A3"/>
    <w:rsid w:val="0097611A"/>
    <w:rsid w:val="00976DDD"/>
    <w:rsid w:val="00986B7B"/>
    <w:rsid w:val="0098773C"/>
    <w:rsid w:val="00990679"/>
    <w:rsid w:val="009946EB"/>
    <w:rsid w:val="0099786E"/>
    <w:rsid w:val="009A09C2"/>
    <w:rsid w:val="009A2ED0"/>
    <w:rsid w:val="009A3375"/>
    <w:rsid w:val="009A618D"/>
    <w:rsid w:val="009A6F75"/>
    <w:rsid w:val="009B2E02"/>
    <w:rsid w:val="009B4515"/>
    <w:rsid w:val="009B5D07"/>
    <w:rsid w:val="009B7276"/>
    <w:rsid w:val="009C06A7"/>
    <w:rsid w:val="009C1943"/>
    <w:rsid w:val="009C281B"/>
    <w:rsid w:val="009C3669"/>
    <w:rsid w:val="009C39F7"/>
    <w:rsid w:val="009C3D97"/>
    <w:rsid w:val="009C7E63"/>
    <w:rsid w:val="009D2B82"/>
    <w:rsid w:val="009E059F"/>
    <w:rsid w:val="009E1CA1"/>
    <w:rsid w:val="009E4250"/>
    <w:rsid w:val="009F40AA"/>
    <w:rsid w:val="009F6E0C"/>
    <w:rsid w:val="00A009F5"/>
    <w:rsid w:val="00A1033A"/>
    <w:rsid w:val="00A10B53"/>
    <w:rsid w:val="00A1571D"/>
    <w:rsid w:val="00A16E1A"/>
    <w:rsid w:val="00A20292"/>
    <w:rsid w:val="00A21879"/>
    <w:rsid w:val="00A21C62"/>
    <w:rsid w:val="00A21E55"/>
    <w:rsid w:val="00A2230D"/>
    <w:rsid w:val="00A2246B"/>
    <w:rsid w:val="00A22EC4"/>
    <w:rsid w:val="00A23B3E"/>
    <w:rsid w:val="00A260E3"/>
    <w:rsid w:val="00A305EB"/>
    <w:rsid w:val="00A3199E"/>
    <w:rsid w:val="00A32C7E"/>
    <w:rsid w:val="00A35BC0"/>
    <w:rsid w:val="00A35FBF"/>
    <w:rsid w:val="00A364A6"/>
    <w:rsid w:val="00A3697C"/>
    <w:rsid w:val="00A457E5"/>
    <w:rsid w:val="00A465D8"/>
    <w:rsid w:val="00A5056D"/>
    <w:rsid w:val="00A52586"/>
    <w:rsid w:val="00A53007"/>
    <w:rsid w:val="00A53B32"/>
    <w:rsid w:val="00A55156"/>
    <w:rsid w:val="00A5649A"/>
    <w:rsid w:val="00A5660A"/>
    <w:rsid w:val="00A61375"/>
    <w:rsid w:val="00A6552F"/>
    <w:rsid w:val="00A65D37"/>
    <w:rsid w:val="00A66829"/>
    <w:rsid w:val="00A75458"/>
    <w:rsid w:val="00A77858"/>
    <w:rsid w:val="00A813CB"/>
    <w:rsid w:val="00A8460F"/>
    <w:rsid w:val="00A8587A"/>
    <w:rsid w:val="00A902DD"/>
    <w:rsid w:val="00A9223B"/>
    <w:rsid w:val="00A93593"/>
    <w:rsid w:val="00A942F9"/>
    <w:rsid w:val="00AA4BF7"/>
    <w:rsid w:val="00AA5086"/>
    <w:rsid w:val="00AA54E0"/>
    <w:rsid w:val="00AA5FD8"/>
    <w:rsid w:val="00AA649B"/>
    <w:rsid w:val="00AB026B"/>
    <w:rsid w:val="00AB125C"/>
    <w:rsid w:val="00AB39E5"/>
    <w:rsid w:val="00AB4372"/>
    <w:rsid w:val="00AB4710"/>
    <w:rsid w:val="00AB7C1D"/>
    <w:rsid w:val="00AC3B27"/>
    <w:rsid w:val="00AC51F8"/>
    <w:rsid w:val="00AC584C"/>
    <w:rsid w:val="00AD009E"/>
    <w:rsid w:val="00AD00FC"/>
    <w:rsid w:val="00AD2D5D"/>
    <w:rsid w:val="00AD5F1C"/>
    <w:rsid w:val="00AD6776"/>
    <w:rsid w:val="00AD6D02"/>
    <w:rsid w:val="00AD6EB9"/>
    <w:rsid w:val="00AD793A"/>
    <w:rsid w:val="00AE01AA"/>
    <w:rsid w:val="00AE093D"/>
    <w:rsid w:val="00AE2B7B"/>
    <w:rsid w:val="00AE2F1E"/>
    <w:rsid w:val="00AE6495"/>
    <w:rsid w:val="00AE7506"/>
    <w:rsid w:val="00AF1D41"/>
    <w:rsid w:val="00AF2217"/>
    <w:rsid w:val="00AF3377"/>
    <w:rsid w:val="00AF439D"/>
    <w:rsid w:val="00AF7EB1"/>
    <w:rsid w:val="00B00BEF"/>
    <w:rsid w:val="00B00F01"/>
    <w:rsid w:val="00B0134E"/>
    <w:rsid w:val="00B0147A"/>
    <w:rsid w:val="00B030F6"/>
    <w:rsid w:val="00B03C7F"/>
    <w:rsid w:val="00B03D40"/>
    <w:rsid w:val="00B0620C"/>
    <w:rsid w:val="00B07AA2"/>
    <w:rsid w:val="00B103A0"/>
    <w:rsid w:val="00B104A7"/>
    <w:rsid w:val="00B115C4"/>
    <w:rsid w:val="00B1207D"/>
    <w:rsid w:val="00B12851"/>
    <w:rsid w:val="00B146C1"/>
    <w:rsid w:val="00B23372"/>
    <w:rsid w:val="00B26956"/>
    <w:rsid w:val="00B3528D"/>
    <w:rsid w:val="00B36227"/>
    <w:rsid w:val="00B37E92"/>
    <w:rsid w:val="00B40196"/>
    <w:rsid w:val="00B40AC1"/>
    <w:rsid w:val="00B4217A"/>
    <w:rsid w:val="00B422C5"/>
    <w:rsid w:val="00B43666"/>
    <w:rsid w:val="00B438A7"/>
    <w:rsid w:val="00B47317"/>
    <w:rsid w:val="00B5003D"/>
    <w:rsid w:val="00B50CA0"/>
    <w:rsid w:val="00B50D73"/>
    <w:rsid w:val="00B523FD"/>
    <w:rsid w:val="00B5331F"/>
    <w:rsid w:val="00B5466B"/>
    <w:rsid w:val="00B55FFC"/>
    <w:rsid w:val="00B65126"/>
    <w:rsid w:val="00B65A09"/>
    <w:rsid w:val="00B70BE4"/>
    <w:rsid w:val="00B7149F"/>
    <w:rsid w:val="00B72427"/>
    <w:rsid w:val="00B72595"/>
    <w:rsid w:val="00B72EAB"/>
    <w:rsid w:val="00B735D1"/>
    <w:rsid w:val="00B73C88"/>
    <w:rsid w:val="00B74B9D"/>
    <w:rsid w:val="00B77CE9"/>
    <w:rsid w:val="00B80D6E"/>
    <w:rsid w:val="00B8164D"/>
    <w:rsid w:val="00B81903"/>
    <w:rsid w:val="00B81925"/>
    <w:rsid w:val="00B84C28"/>
    <w:rsid w:val="00B93DB3"/>
    <w:rsid w:val="00BA08B7"/>
    <w:rsid w:val="00BA42A7"/>
    <w:rsid w:val="00BA58B9"/>
    <w:rsid w:val="00BA6804"/>
    <w:rsid w:val="00BA6A9B"/>
    <w:rsid w:val="00BA7F19"/>
    <w:rsid w:val="00BB0F32"/>
    <w:rsid w:val="00BB103A"/>
    <w:rsid w:val="00BB1C3A"/>
    <w:rsid w:val="00BB4FE4"/>
    <w:rsid w:val="00BB5598"/>
    <w:rsid w:val="00BB55A2"/>
    <w:rsid w:val="00BB5C2B"/>
    <w:rsid w:val="00BB7853"/>
    <w:rsid w:val="00BC4937"/>
    <w:rsid w:val="00BC49DC"/>
    <w:rsid w:val="00BD02D3"/>
    <w:rsid w:val="00BD137A"/>
    <w:rsid w:val="00BD2D34"/>
    <w:rsid w:val="00BD51C2"/>
    <w:rsid w:val="00BD61A7"/>
    <w:rsid w:val="00BE2E3C"/>
    <w:rsid w:val="00BE2E81"/>
    <w:rsid w:val="00BE411A"/>
    <w:rsid w:val="00BE7D52"/>
    <w:rsid w:val="00BF36F8"/>
    <w:rsid w:val="00BF4C70"/>
    <w:rsid w:val="00BF56E1"/>
    <w:rsid w:val="00C0001D"/>
    <w:rsid w:val="00C01614"/>
    <w:rsid w:val="00C045BB"/>
    <w:rsid w:val="00C058B7"/>
    <w:rsid w:val="00C120DA"/>
    <w:rsid w:val="00C153EA"/>
    <w:rsid w:val="00C20D51"/>
    <w:rsid w:val="00C22781"/>
    <w:rsid w:val="00C252A8"/>
    <w:rsid w:val="00C27829"/>
    <w:rsid w:val="00C313EE"/>
    <w:rsid w:val="00C32385"/>
    <w:rsid w:val="00C32742"/>
    <w:rsid w:val="00C35A29"/>
    <w:rsid w:val="00C362EA"/>
    <w:rsid w:val="00C37984"/>
    <w:rsid w:val="00C37B54"/>
    <w:rsid w:val="00C414F6"/>
    <w:rsid w:val="00C43954"/>
    <w:rsid w:val="00C45117"/>
    <w:rsid w:val="00C45FEC"/>
    <w:rsid w:val="00C5285C"/>
    <w:rsid w:val="00C5399E"/>
    <w:rsid w:val="00C53E3E"/>
    <w:rsid w:val="00C540D8"/>
    <w:rsid w:val="00C54C50"/>
    <w:rsid w:val="00C55F80"/>
    <w:rsid w:val="00C56789"/>
    <w:rsid w:val="00C611A7"/>
    <w:rsid w:val="00C61576"/>
    <w:rsid w:val="00C6362F"/>
    <w:rsid w:val="00C649A2"/>
    <w:rsid w:val="00C67399"/>
    <w:rsid w:val="00C7001B"/>
    <w:rsid w:val="00C737DD"/>
    <w:rsid w:val="00C74761"/>
    <w:rsid w:val="00C771B0"/>
    <w:rsid w:val="00C7726E"/>
    <w:rsid w:val="00C82C2F"/>
    <w:rsid w:val="00C83088"/>
    <w:rsid w:val="00C83C6F"/>
    <w:rsid w:val="00C84089"/>
    <w:rsid w:val="00C85AC3"/>
    <w:rsid w:val="00C85D1D"/>
    <w:rsid w:val="00C860E0"/>
    <w:rsid w:val="00C873DF"/>
    <w:rsid w:val="00C934D2"/>
    <w:rsid w:val="00C9472D"/>
    <w:rsid w:val="00C94CEF"/>
    <w:rsid w:val="00CA0999"/>
    <w:rsid w:val="00CA28AE"/>
    <w:rsid w:val="00CA3B32"/>
    <w:rsid w:val="00CA3D3D"/>
    <w:rsid w:val="00CA5717"/>
    <w:rsid w:val="00CB5010"/>
    <w:rsid w:val="00CC32F6"/>
    <w:rsid w:val="00CC7E55"/>
    <w:rsid w:val="00CD1F79"/>
    <w:rsid w:val="00CD633F"/>
    <w:rsid w:val="00CD7780"/>
    <w:rsid w:val="00CE4524"/>
    <w:rsid w:val="00CE491F"/>
    <w:rsid w:val="00CE5A1C"/>
    <w:rsid w:val="00CE63AA"/>
    <w:rsid w:val="00CE73E5"/>
    <w:rsid w:val="00CF0020"/>
    <w:rsid w:val="00CF0E77"/>
    <w:rsid w:val="00CF1865"/>
    <w:rsid w:val="00D01983"/>
    <w:rsid w:val="00D01B15"/>
    <w:rsid w:val="00D026D7"/>
    <w:rsid w:val="00D0488E"/>
    <w:rsid w:val="00D04D5E"/>
    <w:rsid w:val="00D1068A"/>
    <w:rsid w:val="00D12061"/>
    <w:rsid w:val="00D14993"/>
    <w:rsid w:val="00D2123B"/>
    <w:rsid w:val="00D225DF"/>
    <w:rsid w:val="00D226AB"/>
    <w:rsid w:val="00D277EC"/>
    <w:rsid w:val="00D35528"/>
    <w:rsid w:val="00D36532"/>
    <w:rsid w:val="00D36D28"/>
    <w:rsid w:val="00D419C4"/>
    <w:rsid w:val="00D43F92"/>
    <w:rsid w:val="00D4439F"/>
    <w:rsid w:val="00D44709"/>
    <w:rsid w:val="00D46F97"/>
    <w:rsid w:val="00D4770A"/>
    <w:rsid w:val="00D50205"/>
    <w:rsid w:val="00D51DE9"/>
    <w:rsid w:val="00D52778"/>
    <w:rsid w:val="00D528BA"/>
    <w:rsid w:val="00D56518"/>
    <w:rsid w:val="00D5692A"/>
    <w:rsid w:val="00D5722D"/>
    <w:rsid w:val="00D57637"/>
    <w:rsid w:val="00D57E76"/>
    <w:rsid w:val="00D60048"/>
    <w:rsid w:val="00D609E3"/>
    <w:rsid w:val="00D62853"/>
    <w:rsid w:val="00D62F73"/>
    <w:rsid w:val="00D643F0"/>
    <w:rsid w:val="00D644E3"/>
    <w:rsid w:val="00D645E1"/>
    <w:rsid w:val="00D6488D"/>
    <w:rsid w:val="00D6776F"/>
    <w:rsid w:val="00D67B7E"/>
    <w:rsid w:val="00D7050E"/>
    <w:rsid w:val="00D731A4"/>
    <w:rsid w:val="00D747A1"/>
    <w:rsid w:val="00D751BD"/>
    <w:rsid w:val="00D75AEF"/>
    <w:rsid w:val="00D77798"/>
    <w:rsid w:val="00D77E18"/>
    <w:rsid w:val="00D81ACA"/>
    <w:rsid w:val="00D82551"/>
    <w:rsid w:val="00D834BD"/>
    <w:rsid w:val="00D8504B"/>
    <w:rsid w:val="00D862CF"/>
    <w:rsid w:val="00D864A9"/>
    <w:rsid w:val="00D87185"/>
    <w:rsid w:val="00D912AB"/>
    <w:rsid w:val="00D95439"/>
    <w:rsid w:val="00D96A31"/>
    <w:rsid w:val="00D97AB3"/>
    <w:rsid w:val="00DA2079"/>
    <w:rsid w:val="00DA40DB"/>
    <w:rsid w:val="00DA491D"/>
    <w:rsid w:val="00DA5419"/>
    <w:rsid w:val="00DA5A19"/>
    <w:rsid w:val="00DA5BDC"/>
    <w:rsid w:val="00DA62DA"/>
    <w:rsid w:val="00DA6FF9"/>
    <w:rsid w:val="00DA7801"/>
    <w:rsid w:val="00DB4AC8"/>
    <w:rsid w:val="00DB506A"/>
    <w:rsid w:val="00DB52BF"/>
    <w:rsid w:val="00DB79CA"/>
    <w:rsid w:val="00DC0879"/>
    <w:rsid w:val="00DC503D"/>
    <w:rsid w:val="00DC5AAB"/>
    <w:rsid w:val="00DC5DA6"/>
    <w:rsid w:val="00DC7B02"/>
    <w:rsid w:val="00DD1DBF"/>
    <w:rsid w:val="00DD6732"/>
    <w:rsid w:val="00DD7337"/>
    <w:rsid w:val="00DD7616"/>
    <w:rsid w:val="00DE32D2"/>
    <w:rsid w:val="00DE3DE5"/>
    <w:rsid w:val="00DE5E83"/>
    <w:rsid w:val="00DF0F36"/>
    <w:rsid w:val="00DF3018"/>
    <w:rsid w:val="00DF3FD9"/>
    <w:rsid w:val="00DF4E9A"/>
    <w:rsid w:val="00DF55B9"/>
    <w:rsid w:val="00E00E92"/>
    <w:rsid w:val="00E05B09"/>
    <w:rsid w:val="00E0629D"/>
    <w:rsid w:val="00E10FB6"/>
    <w:rsid w:val="00E13B7A"/>
    <w:rsid w:val="00E14312"/>
    <w:rsid w:val="00E15A91"/>
    <w:rsid w:val="00E1700A"/>
    <w:rsid w:val="00E20DE7"/>
    <w:rsid w:val="00E21B75"/>
    <w:rsid w:val="00E244F2"/>
    <w:rsid w:val="00E25098"/>
    <w:rsid w:val="00E255CA"/>
    <w:rsid w:val="00E271A1"/>
    <w:rsid w:val="00E27599"/>
    <w:rsid w:val="00E314CB"/>
    <w:rsid w:val="00E3223F"/>
    <w:rsid w:val="00E33228"/>
    <w:rsid w:val="00E35C20"/>
    <w:rsid w:val="00E362F8"/>
    <w:rsid w:val="00E3681D"/>
    <w:rsid w:val="00E36B06"/>
    <w:rsid w:val="00E36F53"/>
    <w:rsid w:val="00E40F36"/>
    <w:rsid w:val="00E41A70"/>
    <w:rsid w:val="00E431D4"/>
    <w:rsid w:val="00E45235"/>
    <w:rsid w:val="00E4676F"/>
    <w:rsid w:val="00E47B1F"/>
    <w:rsid w:val="00E51E74"/>
    <w:rsid w:val="00E531EF"/>
    <w:rsid w:val="00E54583"/>
    <w:rsid w:val="00E54A8F"/>
    <w:rsid w:val="00E560F4"/>
    <w:rsid w:val="00E568C5"/>
    <w:rsid w:val="00E6023B"/>
    <w:rsid w:val="00E60B45"/>
    <w:rsid w:val="00E61E32"/>
    <w:rsid w:val="00E634A2"/>
    <w:rsid w:val="00E64603"/>
    <w:rsid w:val="00E64A70"/>
    <w:rsid w:val="00E654AB"/>
    <w:rsid w:val="00E6608D"/>
    <w:rsid w:val="00E676AE"/>
    <w:rsid w:val="00E70B59"/>
    <w:rsid w:val="00E7171F"/>
    <w:rsid w:val="00E72813"/>
    <w:rsid w:val="00E7329C"/>
    <w:rsid w:val="00E733C0"/>
    <w:rsid w:val="00E73BEF"/>
    <w:rsid w:val="00E76EB3"/>
    <w:rsid w:val="00E80464"/>
    <w:rsid w:val="00E807D6"/>
    <w:rsid w:val="00E8306B"/>
    <w:rsid w:val="00E907E1"/>
    <w:rsid w:val="00E90DFC"/>
    <w:rsid w:val="00E97963"/>
    <w:rsid w:val="00E97D39"/>
    <w:rsid w:val="00EA3077"/>
    <w:rsid w:val="00EA3748"/>
    <w:rsid w:val="00EA4F67"/>
    <w:rsid w:val="00EA54A6"/>
    <w:rsid w:val="00EA5C92"/>
    <w:rsid w:val="00EB29CE"/>
    <w:rsid w:val="00EB34F5"/>
    <w:rsid w:val="00EB3F8F"/>
    <w:rsid w:val="00EB4E37"/>
    <w:rsid w:val="00EB670F"/>
    <w:rsid w:val="00EB7798"/>
    <w:rsid w:val="00EC001C"/>
    <w:rsid w:val="00EC068E"/>
    <w:rsid w:val="00EC1C38"/>
    <w:rsid w:val="00ED2943"/>
    <w:rsid w:val="00ED4628"/>
    <w:rsid w:val="00ED4E64"/>
    <w:rsid w:val="00ED520A"/>
    <w:rsid w:val="00ED7293"/>
    <w:rsid w:val="00EE010E"/>
    <w:rsid w:val="00EE15C8"/>
    <w:rsid w:val="00EE74B7"/>
    <w:rsid w:val="00EF2B2E"/>
    <w:rsid w:val="00EF38AF"/>
    <w:rsid w:val="00EF42D8"/>
    <w:rsid w:val="00EF717E"/>
    <w:rsid w:val="00F013B2"/>
    <w:rsid w:val="00F01ABD"/>
    <w:rsid w:val="00F021AD"/>
    <w:rsid w:val="00F0368F"/>
    <w:rsid w:val="00F0646E"/>
    <w:rsid w:val="00F10A1D"/>
    <w:rsid w:val="00F10D0F"/>
    <w:rsid w:val="00F11234"/>
    <w:rsid w:val="00F12554"/>
    <w:rsid w:val="00F158FF"/>
    <w:rsid w:val="00F17361"/>
    <w:rsid w:val="00F17925"/>
    <w:rsid w:val="00F20362"/>
    <w:rsid w:val="00F2349C"/>
    <w:rsid w:val="00F23712"/>
    <w:rsid w:val="00F264EB"/>
    <w:rsid w:val="00F27854"/>
    <w:rsid w:val="00F446D4"/>
    <w:rsid w:val="00F44B44"/>
    <w:rsid w:val="00F45E95"/>
    <w:rsid w:val="00F46B54"/>
    <w:rsid w:val="00F47E67"/>
    <w:rsid w:val="00F502EC"/>
    <w:rsid w:val="00F51E26"/>
    <w:rsid w:val="00F527EC"/>
    <w:rsid w:val="00F55B04"/>
    <w:rsid w:val="00F55E6E"/>
    <w:rsid w:val="00F60487"/>
    <w:rsid w:val="00F61E47"/>
    <w:rsid w:val="00F627C0"/>
    <w:rsid w:val="00F64907"/>
    <w:rsid w:val="00F65DD6"/>
    <w:rsid w:val="00F71876"/>
    <w:rsid w:val="00F80495"/>
    <w:rsid w:val="00F8086A"/>
    <w:rsid w:val="00F85363"/>
    <w:rsid w:val="00F85A64"/>
    <w:rsid w:val="00F85C0A"/>
    <w:rsid w:val="00F87CB6"/>
    <w:rsid w:val="00F90DE0"/>
    <w:rsid w:val="00F93374"/>
    <w:rsid w:val="00F97425"/>
    <w:rsid w:val="00F9743F"/>
    <w:rsid w:val="00FA1080"/>
    <w:rsid w:val="00FA463E"/>
    <w:rsid w:val="00FA4696"/>
    <w:rsid w:val="00FB3DB1"/>
    <w:rsid w:val="00FB5033"/>
    <w:rsid w:val="00FC0404"/>
    <w:rsid w:val="00FC0551"/>
    <w:rsid w:val="00FC0BF6"/>
    <w:rsid w:val="00FC4214"/>
    <w:rsid w:val="00FD148B"/>
    <w:rsid w:val="00FD29F8"/>
    <w:rsid w:val="00FD5C73"/>
    <w:rsid w:val="00FD790F"/>
    <w:rsid w:val="00FE29BE"/>
    <w:rsid w:val="00FE480E"/>
    <w:rsid w:val="00FE4F84"/>
    <w:rsid w:val="00FE6E6A"/>
    <w:rsid w:val="00FF29F9"/>
    <w:rsid w:val="022E105D"/>
    <w:rsid w:val="03596FC4"/>
    <w:rsid w:val="075C3E37"/>
    <w:rsid w:val="077820D8"/>
    <w:rsid w:val="11BF51D4"/>
    <w:rsid w:val="18F22832"/>
    <w:rsid w:val="2228022F"/>
    <w:rsid w:val="30051C26"/>
    <w:rsid w:val="328140D1"/>
    <w:rsid w:val="33DB42AB"/>
    <w:rsid w:val="3A766C55"/>
    <w:rsid w:val="3A8F00F2"/>
    <w:rsid w:val="3D9C5797"/>
    <w:rsid w:val="42B82CB5"/>
    <w:rsid w:val="4616034B"/>
    <w:rsid w:val="4DF1626F"/>
    <w:rsid w:val="4EA0233D"/>
    <w:rsid w:val="4F374F6E"/>
    <w:rsid w:val="528A7DB9"/>
    <w:rsid w:val="5BBB7763"/>
    <w:rsid w:val="5DAC7F6A"/>
    <w:rsid w:val="5E591771"/>
    <w:rsid w:val="652A33A7"/>
    <w:rsid w:val="745452BF"/>
    <w:rsid w:val="74E02D8F"/>
    <w:rsid w:val="75C418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仿宋_GB2312" w:hAnsi="仿宋_GB2312" w:eastAsia="仿宋_GB2312" w:cstheme="minorBidi"/>
      <w:kern w:val="2"/>
      <w:sz w:val="28"/>
      <w:szCs w:val="22"/>
      <w:lang w:val="en-US" w:eastAsia="zh-CN" w:bidi="ar-SA"/>
    </w:rPr>
  </w:style>
  <w:style w:type="paragraph" w:styleId="2">
    <w:name w:val="heading 1"/>
    <w:basedOn w:val="1"/>
    <w:next w:val="1"/>
    <w:link w:val="22"/>
    <w:qFormat/>
    <w:uiPriority w:val="9"/>
    <w:pPr>
      <w:keepNext/>
      <w:keepLines/>
      <w:spacing w:before="200" w:after="200"/>
      <w:ind w:firstLine="0" w:firstLineChars="0"/>
      <w:outlineLvl w:val="0"/>
    </w:pPr>
    <w:rPr>
      <w:rFonts w:ascii="黑体" w:hAnsi="黑体" w:eastAsia="黑体"/>
      <w:b/>
      <w:bCs/>
      <w:kern w:val="44"/>
      <w:sz w:val="32"/>
      <w:szCs w:val="44"/>
    </w:rPr>
  </w:style>
  <w:style w:type="paragraph" w:styleId="3">
    <w:name w:val="heading 2"/>
    <w:basedOn w:val="1"/>
    <w:next w:val="1"/>
    <w:link w:val="23"/>
    <w:unhideWhenUsed/>
    <w:qFormat/>
    <w:uiPriority w:val="9"/>
    <w:pPr>
      <w:keepNext/>
      <w:keepLines/>
      <w:spacing w:before="100" w:after="100"/>
      <w:outlineLvl w:val="1"/>
    </w:pPr>
    <w:rPr>
      <w:rFonts w:ascii="楷体" w:hAnsi="楷体" w:eastAsia="楷体" w:cstheme="majorBidi"/>
      <w:b/>
      <w:bCs/>
      <w:sz w:val="32"/>
      <w:szCs w:val="32"/>
    </w:rPr>
  </w:style>
  <w:style w:type="paragraph" w:styleId="4">
    <w:name w:val="heading 3"/>
    <w:basedOn w:val="1"/>
    <w:next w:val="1"/>
    <w:link w:val="24"/>
    <w:unhideWhenUsed/>
    <w:qFormat/>
    <w:uiPriority w:val="9"/>
    <w:pPr>
      <w:keepNext/>
      <w:keepLines/>
      <w:outlineLvl w:val="2"/>
    </w:pPr>
    <w:rPr>
      <w:b/>
      <w:bCs/>
      <w:szCs w:val="32"/>
    </w:rPr>
  </w:style>
  <w:style w:type="paragraph" w:styleId="5">
    <w:name w:val="heading 4"/>
    <w:basedOn w:val="1"/>
    <w:next w:val="1"/>
    <w:link w:val="25"/>
    <w:unhideWhenUsed/>
    <w:qFormat/>
    <w:uiPriority w:val="9"/>
    <w:pPr>
      <w:keepNext/>
      <w:keepLines/>
      <w:spacing w:before="280" w:after="290" w:line="376" w:lineRule="auto"/>
      <w:outlineLvl w:val="3"/>
    </w:pPr>
    <w:rPr>
      <w:rFonts w:asciiTheme="majorHAnsi" w:hAnsiTheme="majorHAnsi" w:eastAsiaTheme="majorEastAsia" w:cstheme="majorBidi"/>
      <w:b/>
      <w:bCs/>
      <w:szCs w:val="28"/>
    </w:rPr>
  </w:style>
  <w:style w:type="character" w:default="1" w:styleId="19">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caption"/>
    <w:basedOn w:val="1"/>
    <w:next w:val="1"/>
    <w:unhideWhenUsed/>
    <w:qFormat/>
    <w:uiPriority w:val="0"/>
    <w:rPr>
      <w:rFonts w:eastAsia="黑体" w:asciiTheme="majorHAnsi" w:hAnsiTheme="majorHAnsi" w:cstheme="majorBidi"/>
      <w:sz w:val="20"/>
      <w:szCs w:val="20"/>
    </w:rPr>
  </w:style>
  <w:style w:type="paragraph" w:styleId="7">
    <w:name w:val="annotation text"/>
    <w:basedOn w:val="1"/>
    <w:link w:val="32"/>
    <w:unhideWhenUsed/>
    <w:qFormat/>
    <w:uiPriority w:val="99"/>
    <w:pPr>
      <w:jc w:val="left"/>
    </w:pPr>
  </w:style>
  <w:style w:type="paragraph" w:styleId="8">
    <w:name w:val="toc 3"/>
    <w:basedOn w:val="1"/>
    <w:next w:val="1"/>
    <w:unhideWhenUsed/>
    <w:qFormat/>
    <w:uiPriority w:val="39"/>
    <w:pPr>
      <w:ind w:left="840" w:leftChars="400"/>
    </w:pPr>
  </w:style>
  <w:style w:type="paragraph" w:styleId="9">
    <w:name w:val="Balloon Text"/>
    <w:basedOn w:val="1"/>
    <w:link w:val="29"/>
    <w:semiHidden/>
    <w:unhideWhenUsed/>
    <w:qFormat/>
    <w:uiPriority w:val="99"/>
    <w:pPr>
      <w:spacing w:line="240" w:lineRule="auto"/>
    </w:pPr>
    <w:rPr>
      <w:sz w:val="18"/>
      <w:szCs w:val="18"/>
    </w:rPr>
  </w:style>
  <w:style w:type="paragraph" w:styleId="10">
    <w:name w:val="footer"/>
    <w:basedOn w:val="1"/>
    <w:link w:val="28"/>
    <w:unhideWhenUsed/>
    <w:qFormat/>
    <w:uiPriority w:val="99"/>
    <w:pPr>
      <w:tabs>
        <w:tab w:val="center" w:pos="4153"/>
        <w:tab w:val="right" w:pos="8306"/>
      </w:tabs>
      <w:snapToGrid w:val="0"/>
      <w:spacing w:line="240" w:lineRule="auto"/>
      <w:jc w:val="left"/>
    </w:pPr>
    <w:rPr>
      <w:sz w:val="18"/>
      <w:szCs w:val="18"/>
    </w:rPr>
  </w:style>
  <w:style w:type="paragraph" w:styleId="11">
    <w:name w:val="header"/>
    <w:basedOn w:val="1"/>
    <w:link w:val="27"/>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2">
    <w:name w:val="toc 1"/>
    <w:basedOn w:val="1"/>
    <w:next w:val="1"/>
    <w:unhideWhenUsed/>
    <w:qFormat/>
    <w:uiPriority w:val="39"/>
    <w:pPr>
      <w:tabs>
        <w:tab w:val="right" w:leader="dot" w:pos="8296"/>
      </w:tabs>
      <w:ind w:firstLine="0" w:firstLineChars="0"/>
    </w:pPr>
    <w:rPr>
      <w:rFonts w:hAnsi="宋体"/>
      <w:b/>
      <w:bCs/>
    </w:rPr>
  </w:style>
  <w:style w:type="paragraph" w:styleId="13">
    <w:name w:val="toc 2"/>
    <w:basedOn w:val="1"/>
    <w:next w:val="1"/>
    <w:unhideWhenUsed/>
    <w:qFormat/>
    <w:uiPriority w:val="39"/>
    <w:pPr>
      <w:tabs>
        <w:tab w:val="right" w:leader="dot" w:pos="8296"/>
      </w:tabs>
      <w:ind w:left="560" w:leftChars="200" w:firstLine="0" w:firstLineChars="0"/>
    </w:pPr>
  </w:style>
  <w:style w:type="paragraph" w:styleId="14">
    <w:name w:val="HTML Preformatted"/>
    <w:basedOn w:val="1"/>
    <w:link w:val="3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pPr>
    <w:rPr>
      <w:rFonts w:ascii="宋体" w:hAnsi="宋体" w:eastAsia="宋体" w:cs="宋体"/>
      <w:kern w:val="0"/>
      <w:sz w:val="24"/>
      <w:szCs w:val="24"/>
    </w:rPr>
  </w:style>
  <w:style w:type="paragraph" w:styleId="15">
    <w:name w:val="Normal (Web)"/>
    <w:basedOn w:val="1"/>
    <w:semiHidden/>
    <w:unhideWhenUsed/>
    <w:qFormat/>
    <w:uiPriority w:val="99"/>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styleId="16">
    <w:name w:val="annotation subject"/>
    <w:basedOn w:val="7"/>
    <w:next w:val="7"/>
    <w:link w:val="33"/>
    <w:semiHidden/>
    <w:unhideWhenUsed/>
    <w:qFormat/>
    <w:uiPriority w:val="99"/>
    <w:rPr>
      <w:b/>
      <w:bCs/>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unhideWhenUsed/>
    <w:qFormat/>
    <w:uiPriority w:val="99"/>
    <w:rPr>
      <w:color w:val="0563C1" w:themeColor="hyperlink"/>
      <w:u w:val="single"/>
      <w14:textFill>
        <w14:solidFill>
          <w14:schemeClr w14:val="hlink"/>
        </w14:solidFill>
      </w14:textFill>
    </w:rPr>
  </w:style>
  <w:style w:type="character" w:styleId="21">
    <w:name w:val="annotation reference"/>
    <w:basedOn w:val="19"/>
    <w:semiHidden/>
    <w:unhideWhenUsed/>
    <w:qFormat/>
    <w:uiPriority w:val="99"/>
    <w:rPr>
      <w:sz w:val="21"/>
      <w:szCs w:val="21"/>
    </w:rPr>
  </w:style>
  <w:style w:type="character" w:customStyle="1" w:styleId="22">
    <w:name w:val="标题 1 字符"/>
    <w:basedOn w:val="19"/>
    <w:link w:val="2"/>
    <w:qFormat/>
    <w:uiPriority w:val="9"/>
    <w:rPr>
      <w:rFonts w:ascii="黑体" w:hAnsi="黑体" w:eastAsia="黑体"/>
      <w:b/>
      <w:bCs/>
      <w:kern w:val="44"/>
      <w:sz w:val="32"/>
      <w:szCs w:val="44"/>
    </w:rPr>
  </w:style>
  <w:style w:type="character" w:customStyle="1" w:styleId="23">
    <w:name w:val="标题 2 字符"/>
    <w:basedOn w:val="19"/>
    <w:link w:val="3"/>
    <w:qFormat/>
    <w:uiPriority w:val="9"/>
    <w:rPr>
      <w:rFonts w:ascii="楷体" w:hAnsi="楷体" w:eastAsia="楷体" w:cstheme="majorBidi"/>
      <w:b/>
      <w:bCs/>
      <w:sz w:val="32"/>
      <w:szCs w:val="32"/>
    </w:rPr>
  </w:style>
  <w:style w:type="character" w:customStyle="1" w:styleId="24">
    <w:name w:val="标题 3 字符"/>
    <w:basedOn w:val="19"/>
    <w:link w:val="4"/>
    <w:qFormat/>
    <w:uiPriority w:val="9"/>
    <w:rPr>
      <w:rFonts w:ascii="仿宋_GB2312" w:hAnsi="仿宋_GB2312" w:eastAsia="仿宋_GB2312"/>
      <w:b/>
      <w:bCs/>
      <w:sz w:val="28"/>
      <w:szCs w:val="32"/>
    </w:rPr>
  </w:style>
  <w:style w:type="character" w:customStyle="1" w:styleId="25">
    <w:name w:val="标题 4 字符"/>
    <w:basedOn w:val="19"/>
    <w:link w:val="5"/>
    <w:qFormat/>
    <w:uiPriority w:val="9"/>
    <w:rPr>
      <w:rFonts w:asciiTheme="majorHAnsi" w:hAnsiTheme="majorHAnsi" w:eastAsiaTheme="majorEastAsia" w:cstheme="majorBidi"/>
      <w:b/>
      <w:bCs/>
      <w:sz w:val="28"/>
      <w:szCs w:val="28"/>
    </w:rPr>
  </w:style>
  <w:style w:type="paragraph" w:styleId="26">
    <w:name w:val="List Paragraph"/>
    <w:basedOn w:val="1"/>
    <w:qFormat/>
    <w:uiPriority w:val="34"/>
    <w:pPr>
      <w:ind w:firstLine="420"/>
    </w:pPr>
  </w:style>
  <w:style w:type="character" w:customStyle="1" w:styleId="27">
    <w:name w:val="页眉 字符"/>
    <w:basedOn w:val="19"/>
    <w:link w:val="11"/>
    <w:qFormat/>
    <w:uiPriority w:val="99"/>
    <w:rPr>
      <w:rFonts w:ascii="仿宋_GB2312" w:hAnsi="仿宋_GB2312" w:eastAsia="仿宋_GB2312"/>
      <w:sz w:val="18"/>
      <w:szCs w:val="18"/>
    </w:rPr>
  </w:style>
  <w:style w:type="character" w:customStyle="1" w:styleId="28">
    <w:name w:val="页脚 字符"/>
    <w:basedOn w:val="19"/>
    <w:link w:val="10"/>
    <w:qFormat/>
    <w:uiPriority w:val="99"/>
    <w:rPr>
      <w:rFonts w:ascii="仿宋_GB2312" w:hAnsi="仿宋_GB2312" w:eastAsia="仿宋_GB2312"/>
      <w:sz w:val="18"/>
      <w:szCs w:val="18"/>
    </w:rPr>
  </w:style>
  <w:style w:type="character" w:customStyle="1" w:styleId="29">
    <w:name w:val="批注框文本 字符"/>
    <w:basedOn w:val="19"/>
    <w:link w:val="9"/>
    <w:semiHidden/>
    <w:qFormat/>
    <w:uiPriority w:val="99"/>
    <w:rPr>
      <w:rFonts w:ascii="仿宋_GB2312" w:hAnsi="仿宋_GB2312" w:eastAsia="仿宋_GB2312"/>
      <w:sz w:val="18"/>
      <w:szCs w:val="18"/>
    </w:rPr>
  </w:style>
  <w:style w:type="paragraph" w:customStyle="1" w:styleId="30">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Cs w:val="32"/>
    </w:rPr>
  </w:style>
  <w:style w:type="character" w:customStyle="1" w:styleId="31">
    <w:name w:val="HTML 预设格式 字符"/>
    <w:basedOn w:val="19"/>
    <w:link w:val="14"/>
    <w:qFormat/>
    <w:uiPriority w:val="99"/>
    <w:rPr>
      <w:rFonts w:ascii="宋体" w:hAnsi="宋体" w:eastAsia="宋体" w:cs="宋体"/>
      <w:kern w:val="0"/>
      <w:sz w:val="24"/>
      <w:szCs w:val="24"/>
    </w:rPr>
  </w:style>
  <w:style w:type="character" w:customStyle="1" w:styleId="32">
    <w:name w:val="批注文字 字符"/>
    <w:basedOn w:val="19"/>
    <w:link w:val="7"/>
    <w:qFormat/>
    <w:uiPriority w:val="99"/>
    <w:rPr>
      <w:rFonts w:ascii="仿宋_GB2312" w:hAnsi="仿宋_GB2312" w:eastAsia="仿宋_GB2312"/>
      <w:sz w:val="28"/>
    </w:rPr>
  </w:style>
  <w:style w:type="character" w:customStyle="1" w:styleId="33">
    <w:name w:val="批注主题 字符"/>
    <w:basedOn w:val="32"/>
    <w:link w:val="16"/>
    <w:semiHidden/>
    <w:qFormat/>
    <w:uiPriority w:val="99"/>
    <w:rPr>
      <w:rFonts w:ascii="仿宋_GB2312" w:hAnsi="仿宋_GB2312" w:eastAsia="仿宋_GB2312"/>
      <w:b/>
      <w:bCs/>
      <w:sz w:val="28"/>
    </w:rPr>
  </w:style>
  <w:style w:type="paragraph" w:customStyle="1" w:styleId="34">
    <w:name w:val="Revision"/>
    <w:hidden/>
    <w:semiHidden/>
    <w:qFormat/>
    <w:uiPriority w:val="99"/>
    <w:rPr>
      <w:rFonts w:ascii="仿宋_GB2312" w:hAnsi="仿宋_GB2312" w:eastAsia="仿宋_GB2312" w:cstheme="minorBidi"/>
      <w:kern w:val="2"/>
      <w:sz w:val="28"/>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E3B7E-AB54-4BD1-A82E-2F3209E0216E}">
  <ds:schemaRefs/>
</ds:datastoreItem>
</file>

<file path=docProps/app.xml><?xml version="1.0" encoding="utf-8"?>
<Properties xmlns="http://schemas.openxmlformats.org/officeDocument/2006/extended-properties" xmlns:vt="http://schemas.openxmlformats.org/officeDocument/2006/docPropsVTypes">
  <Template>Normal.dotm</Template>
  <Pages>38</Pages>
  <Words>18048</Words>
  <Characters>20204</Characters>
  <Lines>159</Lines>
  <Paragraphs>44</Paragraphs>
  <TotalTime>279</TotalTime>
  <ScaleCrop>false</ScaleCrop>
  <LinksUpToDate>false</LinksUpToDate>
  <CharactersWithSpaces>20262</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2022-02-22T03:53:00Z</dcterms:created>
  <dc:creator>腊梅</dc:creator>
  <cp:lastModifiedBy>dell</cp:lastModifiedBy>
  <cp:lastPrinted>2022-07-07T03:14:00Z</cp:lastPrinted>
  <dcterms:modified xsi:type="dcterms:W3CDTF">2022-08-16T02:54:37Z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F1272BB51B75461597E227053B73A4DD</vt:lpwstr>
  </property>
</Properties>
</file>