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both"/>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2022年度</w:t>
      </w: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中国国民党革命委员会甘肃省委员会部门决算</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center"/>
        <w:textAlignment w:val="auto"/>
        <w:rPr>
          <w:rFonts w:hint="eastAsia" w:ascii="宋体" w:hAnsi="宋体"/>
          <w:sz w:val="24"/>
          <w:szCs w:val="24"/>
          <w:lang w:val="zh-CN"/>
        </w:rPr>
      </w:pPr>
      <w:r>
        <w:rPr>
          <w:rFonts w:hint="eastAsia" w:ascii="宋体" w:hAnsi="宋体"/>
          <w:b/>
          <w:sz w:val="24"/>
          <w:szCs w:val="24"/>
          <w:lang w:val="zh-CN"/>
        </w:rPr>
        <w:t>目录</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b/>
          <w:sz w:val="24"/>
          <w:szCs w:val="24"/>
          <w:lang w:val="zh-CN"/>
        </w:rPr>
        <w:t>第一部分部门概况</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一、部门职责</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二、机构设置</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b/>
          <w:sz w:val="24"/>
          <w:szCs w:val="24"/>
          <w:lang w:val="zh-CN"/>
        </w:rPr>
        <w:t>第二部分2022年度部门决算表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一、收入支出决算总表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二、收入决算表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三、支出决算表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四、财政拨款收入支出决算总表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五、一般公共预算财政拨款支出决算表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八、国有资本经营预算财政拨款支出决算表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b/>
          <w:sz w:val="24"/>
          <w:szCs w:val="24"/>
          <w:lang w:val="zh-CN"/>
        </w:rPr>
        <w:t>第三部分2022年度部门决算情况说明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一、收入支出决算总体情况说明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二、收入决算情况说明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三、支出决算情况说明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七、机关运行经费支出情况说明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八、政府采购支出情况说明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九、国有资产占用情况说明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十一、国有资本经营预算财政拨款支出情况说明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sz w:val="24"/>
          <w:szCs w:val="24"/>
          <w:lang w:val="zh-CN"/>
        </w:rPr>
        <w:t>十二、财政拨款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b/>
          <w:sz w:val="24"/>
          <w:szCs w:val="24"/>
          <w:lang w:val="zh-CN"/>
        </w:rPr>
        <w:t>第四部分预算绩效情况说明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300" w:lineRule="exact"/>
        <w:jc w:val="left"/>
        <w:textAlignment w:val="auto"/>
        <w:rPr>
          <w:rFonts w:hint="eastAsia" w:ascii="宋体" w:hAnsi="宋体"/>
          <w:sz w:val="24"/>
          <w:szCs w:val="24"/>
          <w:lang w:val="zh-CN"/>
        </w:rPr>
      </w:pPr>
      <w:r>
        <w:rPr>
          <w:rFonts w:hint="eastAsia" w:ascii="宋体" w:hAnsi="宋体"/>
          <w:b/>
          <w:sz w:val="24"/>
          <w:szCs w:val="24"/>
          <w:lang w:val="zh-CN"/>
        </w:rPr>
        <w:t>第五部分名词解释</w:t>
      </w: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pPr>
        <w:spacing w:before="100" w:beforeLines="0" w:after="100" w:afterLines="0"/>
        <w:ind w:firstLine="480" w:firstLineChars="200"/>
        <w:jc w:val="left"/>
        <w:rPr>
          <w:rFonts w:hint="eastAsia" w:ascii="宋体" w:hAnsi="宋体"/>
          <w:sz w:val="24"/>
          <w:szCs w:val="24"/>
          <w:lang w:val="zh-CN"/>
        </w:rPr>
      </w:pPr>
      <w:r>
        <w:rPr>
          <w:rFonts w:hint="eastAsia" w:ascii="宋体" w:hAnsi="宋体"/>
          <w:sz w:val="24"/>
          <w:szCs w:val="24"/>
          <w:lang w:val="zh-CN"/>
        </w:rPr>
        <w:t>一、部门职责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theme="minorBidi"/>
          <w:color w:val="auto"/>
          <w:kern w:val="2"/>
          <w:sz w:val="24"/>
          <w:szCs w:val="24"/>
          <w:lang w:val="zh-CN"/>
        </w:rPr>
      </w:pPr>
      <w:r>
        <w:rPr>
          <w:rFonts w:hint="eastAsia" w:ascii="宋体" w:hAnsi="宋体" w:eastAsia="宋体" w:cstheme="minorBidi"/>
          <w:color w:val="auto"/>
          <w:kern w:val="2"/>
          <w:sz w:val="24"/>
          <w:szCs w:val="24"/>
          <w:lang w:val="zh-CN"/>
        </w:rPr>
        <w:t>中国国民党革命委员会（简称“民革”）是具有政治联盟性质的、致力于建设中国特色社会主义和祖国统一事业的政党，是中国共产党领导的多党合作和政治协商制度中的参政党。民革甘肃省委员会是民革在甘肃省的地方组织，系中共甘肃省委领导下的参政党机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theme="minorBidi"/>
          <w:color w:val="auto"/>
          <w:kern w:val="2"/>
          <w:sz w:val="24"/>
          <w:szCs w:val="24"/>
          <w:lang w:val="zh-CN"/>
        </w:rPr>
      </w:pPr>
      <w:r>
        <w:rPr>
          <w:rFonts w:hint="eastAsia" w:ascii="宋体" w:hAnsi="宋体" w:eastAsia="宋体" w:cstheme="minorBidi"/>
          <w:color w:val="auto"/>
          <w:kern w:val="2"/>
          <w:sz w:val="24"/>
          <w:szCs w:val="24"/>
          <w:lang w:val="zh-CN"/>
        </w:rPr>
        <w:t>主要职能职责：一是宣传、贯彻中国共产党和国家的方针、政策,发挥参政党作用；二是贯彻民革中央的组织路线</w:t>
      </w:r>
      <w:bookmarkStart w:id="0" w:name="_GoBack"/>
      <w:bookmarkEnd w:id="0"/>
      <w:r>
        <w:rPr>
          <w:rFonts w:hint="eastAsia" w:ascii="宋体" w:hAnsi="宋体" w:eastAsia="宋体" w:cstheme="minorBidi"/>
          <w:color w:val="auto"/>
          <w:kern w:val="2"/>
          <w:sz w:val="24"/>
          <w:szCs w:val="24"/>
          <w:lang w:val="zh-CN"/>
        </w:rPr>
        <w:t>,制定全省组织发展计划和实施方案,并组织实施；三是组织、指导全省各级民革组织及党员进行调研，参政议政、民主监督,反映社情民意的各项工作；四是宣传和贯彻“和平统一、一国两制”的方针,动员和组织全省民革党员,为促进祖国和平统一而努力；五是宣传贯彻以经济建设为中心的方针,组织、推动民革党员立足本职、深入调研,在经济建设中开展广泛的服务和贡献活动；六是通过各项工作的开展,发现和培养人才,向各级政府和社会各方面推荐人才,发挥他们的才智。</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二、机构设置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theme="minorBidi"/>
          <w:color w:val="auto"/>
          <w:kern w:val="2"/>
          <w:sz w:val="24"/>
          <w:szCs w:val="24"/>
          <w:lang w:val="zh-CN"/>
        </w:rPr>
      </w:pPr>
      <w:r>
        <w:rPr>
          <w:rFonts w:hint="eastAsia" w:ascii="宋体" w:hAnsi="宋体" w:eastAsia="宋体" w:cstheme="minorBidi"/>
          <w:color w:val="auto"/>
          <w:kern w:val="2"/>
          <w:sz w:val="24"/>
          <w:szCs w:val="24"/>
          <w:lang w:val="zh-CN"/>
        </w:rPr>
        <w:t>根据上述职责,民革甘肃省委机关内设6个处室：办公室、组织处、宣传处、社会服务处、联络处、调查研究室。</w:t>
      </w: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第二部分2022年度部门决算表</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一、收入支出决算总表</w:t>
      </w:r>
    </w:p>
    <w:p>
      <w:pPr>
        <w:spacing w:before="100" w:beforeLines="0" w:after="100" w:afterLines="0"/>
        <w:jc w:val="left"/>
        <w:rPr>
          <w:rFonts w:hint="eastAsia" w:ascii="宋体" w:hAnsi="宋体"/>
          <w:color w:val="auto"/>
          <w:sz w:val="24"/>
          <w:szCs w:val="24"/>
          <w:lang w:val="zh-CN"/>
        </w:rPr>
      </w:pPr>
      <w:r>
        <w:drawing>
          <wp:inline distT="0" distB="0" distL="114300" distR="114300">
            <wp:extent cx="5484495" cy="458279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84495" cy="4582795"/>
                    </a:xfrm>
                    <a:prstGeom prst="rect">
                      <a:avLst/>
                    </a:prstGeom>
                    <a:noFill/>
                    <a:ln>
                      <a:noFill/>
                    </a:ln>
                  </pic:spPr>
                </pic:pic>
              </a:graphicData>
            </a:graphic>
          </wp:inline>
        </w:drawing>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二、收入决算表</w:t>
      </w:r>
    </w:p>
    <w:p>
      <w:pPr>
        <w:spacing w:before="100" w:beforeLines="0" w:after="100" w:afterLines="0"/>
        <w:jc w:val="left"/>
        <w:rPr>
          <w:rFonts w:hint="eastAsia" w:ascii="宋体" w:hAnsi="宋体"/>
          <w:color w:val="auto"/>
          <w:sz w:val="24"/>
          <w:szCs w:val="24"/>
          <w:lang w:val="zh-CN"/>
        </w:rPr>
      </w:pPr>
      <w:r>
        <w:drawing>
          <wp:inline distT="0" distB="0" distL="114300" distR="114300">
            <wp:extent cx="5481320" cy="2698750"/>
            <wp:effectExtent l="0" t="0" r="508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481320" cy="2698750"/>
                    </a:xfrm>
                    <a:prstGeom prst="rect">
                      <a:avLst/>
                    </a:prstGeom>
                    <a:noFill/>
                    <a:ln>
                      <a:noFill/>
                    </a:ln>
                  </pic:spPr>
                </pic:pic>
              </a:graphicData>
            </a:graphic>
          </wp:inline>
        </w:drawing>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三、支出决算表</w:t>
      </w:r>
    </w:p>
    <w:p>
      <w:pPr>
        <w:spacing w:before="100" w:beforeLines="0" w:after="100" w:afterLines="0"/>
        <w:jc w:val="left"/>
        <w:rPr>
          <w:rFonts w:hint="eastAsia" w:ascii="宋体" w:hAnsi="宋体"/>
          <w:color w:val="auto"/>
          <w:sz w:val="24"/>
          <w:szCs w:val="24"/>
          <w:lang w:val="zh-CN"/>
        </w:rPr>
      </w:pPr>
      <w:r>
        <w:drawing>
          <wp:inline distT="0" distB="0" distL="114300" distR="114300">
            <wp:extent cx="5483860" cy="302323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483860" cy="3023235"/>
                    </a:xfrm>
                    <a:prstGeom prst="rect">
                      <a:avLst/>
                    </a:prstGeom>
                    <a:noFill/>
                    <a:ln>
                      <a:noFill/>
                    </a:ln>
                  </pic:spPr>
                </pic:pic>
              </a:graphicData>
            </a:graphic>
          </wp:inline>
        </w:drawing>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w:t>
      </w:r>
    </w:p>
    <w:p>
      <w:pPr>
        <w:spacing w:before="100" w:beforeLines="0" w:after="100" w:afterLines="0"/>
        <w:jc w:val="left"/>
        <w:rPr>
          <w:rFonts w:hint="eastAsia" w:ascii="宋体" w:hAnsi="宋体" w:eastAsia="宋体"/>
          <w:color w:val="auto"/>
          <w:sz w:val="24"/>
          <w:szCs w:val="24"/>
          <w:lang w:val="zh-CN" w:eastAsia="zh-CN"/>
        </w:rPr>
      </w:pPr>
      <w:r>
        <w:drawing>
          <wp:inline distT="0" distB="0" distL="114300" distR="114300">
            <wp:extent cx="5484495" cy="4025900"/>
            <wp:effectExtent l="0" t="0" r="190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484495" cy="4025900"/>
                    </a:xfrm>
                    <a:prstGeom prst="rect">
                      <a:avLst/>
                    </a:prstGeom>
                    <a:noFill/>
                    <a:ln>
                      <a:noFill/>
                    </a:ln>
                  </pic:spPr>
                </pic:pic>
              </a:graphicData>
            </a:graphic>
          </wp:inline>
        </w:drawing>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w:t>
      </w:r>
    </w:p>
    <w:p>
      <w:pPr>
        <w:spacing w:before="100" w:beforeLines="0" w:after="100" w:afterLines="0"/>
        <w:jc w:val="left"/>
        <w:rPr>
          <w:rFonts w:hint="eastAsia" w:ascii="宋体" w:hAnsi="宋体" w:eastAsia="宋体"/>
          <w:color w:val="auto"/>
          <w:sz w:val="24"/>
          <w:szCs w:val="24"/>
          <w:lang w:val="zh-CN" w:eastAsia="zh-CN"/>
        </w:rPr>
      </w:pPr>
      <w:r>
        <w:drawing>
          <wp:inline distT="0" distB="0" distL="114300" distR="114300">
            <wp:extent cx="5486400" cy="388874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486400" cy="3888740"/>
                    </a:xfrm>
                    <a:prstGeom prst="rect">
                      <a:avLst/>
                    </a:prstGeom>
                    <a:noFill/>
                    <a:ln>
                      <a:noFill/>
                    </a:ln>
                  </pic:spPr>
                </pic:pic>
              </a:graphicData>
            </a:graphic>
          </wp:inline>
        </w:drawing>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w:t>
      </w:r>
    </w:p>
    <w:p>
      <w:pPr>
        <w:spacing w:before="100" w:beforeLines="0" w:after="100" w:afterLines="0"/>
        <w:jc w:val="left"/>
        <w:rPr>
          <w:rFonts w:hint="eastAsia" w:ascii="宋体" w:hAnsi="宋体"/>
          <w:color w:val="auto"/>
          <w:sz w:val="24"/>
          <w:szCs w:val="24"/>
          <w:lang w:val="zh-CN"/>
        </w:rPr>
      </w:pPr>
      <w:r>
        <w:drawing>
          <wp:inline distT="0" distB="0" distL="114300" distR="114300">
            <wp:extent cx="5481955" cy="352044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481955" cy="3520440"/>
                    </a:xfrm>
                    <a:prstGeom prst="rect">
                      <a:avLst/>
                    </a:prstGeom>
                    <a:noFill/>
                    <a:ln>
                      <a:noFill/>
                    </a:ln>
                  </pic:spPr>
                </pic:pic>
              </a:graphicData>
            </a:graphic>
          </wp:inline>
        </w:drawing>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w:t>
      </w:r>
    </w:p>
    <w:p>
      <w:pPr>
        <w:spacing w:before="100" w:beforeLines="0" w:after="100" w:afterLines="0"/>
        <w:jc w:val="left"/>
        <w:rPr>
          <w:rFonts w:hint="eastAsia" w:ascii="宋体" w:hAnsi="宋体" w:eastAsia="宋体"/>
          <w:color w:val="auto"/>
          <w:sz w:val="24"/>
          <w:szCs w:val="24"/>
          <w:lang w:val="zh-CN" w:eastAsia="zh-CN"/>
        </w:rPr>
      </w:pPr>
      <w:r>
        <w:drawing>
          <wp:inline distT="0" distB="0" distL="114300" distR="114300">
            <wp:extent cx="5482590" cy="1564005"/>
            <wp:effectExtent l="0" t="0" r="381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482590" cy="1564005"/>
                    </a:xfrm>
                    <a:prstGeom prst="rect">
                      <a:avLst/>
                    </a:prstGeom>
                    <a:noFill/>
                    <a:ln>
                      <a:noFill/>
                    </a:ln>
                  </pic:spPr>
                </pic:pic>
              </a:graphicData>
            </a:graphic>
          </wp:inline>
        </w:drawing>
      </w:r>
    </w:p>
    <w:p>
      <w:pPr>
        <w:spacing w:before="100" w:beforeLines="0" w:after="100" w:afterLines="0"/>
        <w:ind w:firstLine="440" w:firstLineChars="200"/>
        <w:jc w:val="left"/>
        <w:rPr>
          <w:rFonts w:hint="eastAsia" w:ascii="宋体" w:hAnsi="宋体"/>
          <w:color w:val="auto"/>
          <w:sz w:val="22"/>
          <w:szCs w:val="22"/>
          <w:lang w:val="zh-CN" w:eastAsia="zh-CN"/>
        </w:rPr>
      </w:pPr>
      <w:r>
        <w:rPr>
          <w:rFonts w:hint="eastAsia" w:ascii="宋体" w:hAnsi="宋体"/>
          <w:color w:val="auto"/>
          <w:sz w:val="22"/>
          <w:szCs w:val="22"/>
          <w:lang w:val="zh-CN"/>
        </w:rPr>
        <w:t>注：</w:t>
      </w:r>
      <w:r>
        <w:rPr>
          <w:rFonts w:hint="eastAsia" w:ascii="宋体" w:hAnsi="宋体"/>
          <w:color w:val="auto"/>
          <w:sz w:val="22"/>
          <w:szCs w:val="22"/>
          <w:lang w:val="zh-CN" w:eastAsia="zh-CN"/>
        </w:rPr>
        <w:t>本部门没有相关数据,故本表无数</w:t>
      </w:r>
      <w:r>
        <w:rPr>
          <w:rFonts w:hint="eastAsia" w:ascii="宋体" w:hAnsi="宋体"/>
          <w:color w:val="auto"/>
          <w:sz w:val="22"/>
          <w:szCs w:val="22"/>
          <w:lang w:val="zh-CN"/>
        </w:rPr>
        <w:t>据</w:t>
      </w:r>
      <w:r>
        <w:rPr>
          <w:rFonts w:hint="eastAsia" w:ascii="宋体" w:hAnsi="宋体"/>
          <w:color w:val="auto"/>
          <w:sz w:val="22"/>
          <w:szCs w:val="22"/>
          <w:lang w:val="zh-CN" w:eastAsia="zh-CN"/>
        </w:rPr>
        <w:t>。</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w:t>
      </w:r>
    </w:p>
    <w:p>
      <w:pPr>
        <w:spacing w:before="100" w:beforeLines="0" w:after="100" w:afterLines="0"/>
        <w:jc w:val="left"/>
        <w:rPr>
          <w:rFonts w:hint="eastAsia" w:ascii="宋体" w:hAnsi="宋体" w:eastAsia="宋体"/>
          <w:color w:val="auto"/>
          <w:sz w:val="24"/>
          <w:szCs w:val="24"/>
          <w:lang w:val="zh-CN" w:eastAsia="zh-CN"/>
        </w:rPr>
      </w:pPr>
      <w:r>
        <w:drawing>
          <wp:inline distT="0" distB="0" distL="114300" distR="114300">
            <wp:extent cx="5212080" cy="184404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212080" cy="1844040"/>
                    </a:xfrm>
                    <a:prstGeom prst="rect">
                      <a:avLst/>
                    </a:prstGeom>
                    <a:noFill/>
                    <a:ln>
                      <a:noFill/>
                    </a:ln>
                  </pic:spPr>
                </pic:pic>
              </a:graphicData>
            </a:graphic>
          </wp:inline>
        </w:drawing>
      </w:r>
    </w:p>
    <w:p>
      <w:pPr>
        <w:spacing w:before="100" w:beforeLines="0" w:after="100" w:afterLines="0"/>
        <w:ind w:firstLine="440" w:firstLineChars="200"/>
        <w:jc w:val="left"/>
        <w:rPr>
          <w:rFonts w:hint="eastAsia" w:ascii="宋体" w:hAnsi="宋体"/>
          <w:color w:val="auto"/>
          <w:sz w:val="22"/>
          <w:szCs w:val="22"/>
          <w:lang w:val="zh-CN" w:eastAsia="zh-CN"/>
        </w:rPr>
      </w:pPr>
      <w:r>
        <w:rPr>
          <w:rFonts w:hint="eastAsia" w:ascii="宋体" w:hAnsi="宋体"/>
          <w:color w:val="auto"/>
          <w:sz w:val="22"/>
          <w:szCs w:val="22"/>
          <w:lang w:val="zh-CN"/>
        </w:rPr>
        <w:t>注：</w:t>
      </w:r>
      <w:r>
        <w:rPr>
          <w:rFonts w:hint="eastAsia" w:ascii="宋体" w:hAnsi="宋体"/>
          <w:color w:val="auto"/>
          <w:sz w:val="22"/>
          <w:szCs w:val="22"/>
          <w:lang w:val="zh-CN" w:eastAsia="zh-CN"/>
        </w:rPr>
        <w:t>本部门没有相关数据,故本表无数</w:t>
      </w:r>
      <w:r>
        <w:rPr>
          <w:rFonts w:hint="eastAsia" w:ascii="宋体" w:hAnsi="宋体"/>
          <w:color w:val="auto"/>
          <w:sz w:val="22"/>
          <w:szCs w:val="22"/>
          <w:lang w:val="zh-CN"/>
        </w:rPr>
        <w:t>据</w:t>
      </w:r>
      <w:r>
        <w:rPr>
          <w:rFonts w:hint="eastAsia" w:ascii="宋体" w:hAnsi="宋体"/>
          <w:color w:val="auto"/>
          <w:sz w:val="22"/>
          <w:szCs w:val="22"/>
          <w:lang w:val="zh-CN" w:eastAsia="zh-CN"/>
        </w:rPr>
        <w:t>。</w:t>
      </w:r>
    </w:p>
    <w:p>
      <w:pPr>
        <w:spacing w:before="100" w:beforeLines="0" w:after="100" w:afterLines="0"/>
        <w:jc w:val="left"/>
        <w:rPr>
          <w:rFonts w:hint="eastAsia" w:ascii="宋体" w:hAnsi="宋体"/>
          <w:color w:val="auto"/>
          <w:sz w:val="24"/>
          <w:szCs w:val="24"/>
          <w:lang w:val="zh-CN"/>
        </w:rPr>
      </w:pP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w:t>
      </w:r>
    </w:p>
    <w:p>
      <w:pPr>
        <w:spacing w:before="100" w:beforeLines="0" w:after="100" w:afterLines="0"/>
        <w:jc w:val="left"/>
        <w:rPr>
          <w:rFonts w:hint="eastAsia" w:ascii="宋体" w:hAnsi="宋体"/>
          <w:color w:val="FF0000"/>
          <w:sz w:val="24"/>
          <w:szCs w:val="24"/>
          <w:lang w:val="zh-CN"/>
        </w:rPr>
      </w:pPr>
      <w:r>
        <w:drawing>
          <wp:inline distT="0" distB="0" distL="114300" distR="114300">
            <wp:extent cx="5478780" cy="1327150"/>
            <wp:effectExtent l="0" t="0" r="7620"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478780" cy="1327150"/>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before="100" w:beforeLines="0" w:after="100" w:afterLines="0" w:line="400" w:lineRule="exact"/>
        <w:jc w:val="center"/>
        <w:textAlignment w:val="auto"/>
        <w:rPr>
          <w:rFonts w:hint="eastAsia" w:ascii="宋体" w:hAnsi="宋体"/>
          <w:color w:val="auto"/>
          <w:sz w:val="24"/>
          <w:szCs w:val="24"/>
          <w:lang w:val="zh-CN"/>
        </w:rPr>
      </w:pPr>
      <w:r>
        <w:rPr>
          <w:rFonts w:hint="eastAsia" w:ascii="宋体" w:hAnsi="宋体"/>
          <w:b/>
          <w:color w:val="auto"/>
          <w:sz w:val="24"/>
          <w:szCs w:val="24"/>
          <w:lang w:val="zh-CN"/>
        </w:rPr>
        <w:t>第三部分2022年度部门决算情况说明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一、收入支出决算总体情况说明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2022年度收、支总计</w:t>
      </w:r>
      <w:r>
        <w:rPr>
          <w:rFonts w:hint="eastAsia" w:ascii="宋体" w:hAnsi="宋体"/>
          <w:color w:val="auto"/>
          <w:sz w:val="24"/>
          <w:szCs w:val="24"/>
          <w:lang w:val="en-US"/>
        </w:rPr>
        <w:t>均为</w:t>
      </w:r>
      <w:r>
        <w:rPr>
          <w:rFonts w:hint="eastAsia" w:ascii="宋体" w:hAnsi="宋体"/>
          <w:color w:val="auto"/>
          <w:sz w:val="24"/>
          <w:szCs w:val="24"/>
          <w:lang w:val="zh-CN"/>
        </w:rPr>
        <w:t>712.96万元。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增加85.83万元</w:t>
      </w:r>
      <w:r>
        <w:rPr>
          <w:rFonts w:hint="eastAsia" w:ascii="宋体" w:hAnsi="宋体"/>
          <w:color w:val="auto"/>
          <w:sz w:val="24"/>
          <w:szCs w:val="24"/>
          <w:lang w:val="en-US" w:eastAsia="zh-CN"/>
        </w:rPr>
        <w:t>，</w:t>
      </w:r>
      <w:r>
        <w:rPr>
          <w:rFonts w:hint="eastAsia" w:ascii="宋体" w:hAnsi="宋体"/>
          <w:color w:val="auto"/>
          <w:sz w:val="24"/>
          <w:szCs w:val="24"/>
          <w:lang w:val="zh-CN"/>
        </w:rPr>
        <w:t>增长13.68%，主要原因是</w:t>
      </w:r>
      <w:r>
        <w:rPr>
          <w:rFonts w:hint="eastAsia" w:ascii="宋体" w:hAnsi="宋体"/>
          <w:color w:val="auto"/>
          <w:sz w:val="24"/>
          <w:szCs w:val="24"/>
          <w:lang w:val="zh-CN" w:eastAsia="zh-CN"/>
        </w:rPr>
        <w:t>一是本年度新招录人员，且在职人员工资调整，导致人员经费增加</w:t>
      </w:r>
      <w:r>
        <w:rPr>
          <w:rFonts w:hint="eastAsia" w:ascii="宋体" w:hAnsi="宋体"/>
          <w:color w:val="auto"/>
          <w:sz w:val="24"/>
          <w:szCs w:val="24"/>
          <w:lang w:val="zh-CN"/>
        </w:rPr>
        <w:t>；</w:t>
      </w:r>
      <w:r>
        <w:rPr>
          <w:rFonts w:hint="eastAsia" w:ascii="宋体" w:hAnsi="宋体"/>
          <w:color w:val="auto"/>
          <w:sz w:val="24"/>
          <w:szCs w:val="24"/>
          <w:lang w:val="zh-CN" w:eastAsia="zh-CN"/>
        </w:rPr>
        <w:t>二是因工作需要年内向财政厅申请相关经费</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二、收入决算情况说明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2022年度收入合计662.23万元，其中：财政拨款收入662.23万元,占100</w:t>
      </w:r>
      <w:r>
        <w:rPr>
          <w:rFonts w:hint="eastAsia" w:ascii="宋体" w:hAnsi="宋体"/>
          <w:color w:val="auto"/>
          <w:sz w:val="24"/>
          <w:szCs w:val="24"/>
          <w:lang w:val="en-US" w:eastAsia="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三、支出决算情况说明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2022年度支出合计685.40万元,其中：基本支出586.94万元,占85.63%；项目支出98.45万元,占14.36%。</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四、财政拨款收入支出决算总体情况说明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eastAsia="zh-CN"/>
        </w:rPr>
      </w:pPr>
      <w:r>
        <w:rPr>
          <w:rFonts w:hint="eastAsia" w:ascii="宋体" w:hAnsi="宋体"/>
          <w:color w:val="auto"/>
          <w:sz w:val="24"/>
          <w:szCs w:val="24"/>
          <w:lang w:val="zh-CN"/>
        </w:rPr>
        <w:t>2022年度财政拨款收、支总计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712.96万元。与</w:t>
      </w:r>
      <w:r>
        <w:rPr>
          <w:rFonts w:hint="eastAsia" w:ascii="宋体" w:hAnsi="宋体"/>
          <w:color w:val="auto"/>
          <w:sz w:val="24"/>
          <w:szCs w:val="24"/>
          <w:lang w:val="en-US"/>
        </w:rPr>
        <w:t>上</w:t>
      </w:r>
      <w:r>
        <w:rPr>
          <w:rFonts w:hint="eastAsia" w:ascii="宋体" w:hAnsi="宋体"/>
          <w:color w:val="auto"/>
          <w:sz w:val="24"/>
          <w:szCs w:val="24"/>
          <w:lang w:val="zh-CN"/>
        </w:rPr>
        <w:t>年相比,各增加85.82万元,增长13.68%。主要原因是</w:t>
      </w:r>
      <w:r>
        <w:rPr>
          <w:rFonts w:hint="eastAsia" w:ascii="宋体" w:hAnsi="宋体"/>
          <w:color w:val="auto"/>
          <w:sz w:val="24"/>
          <w:szCs w:val="24"/>
          <w:lang w:val="zh-CN" w:eastAsia="zh-CN"/>
        </w:rPr>
        <w:t>一是本年度新招录人员，且在职人员工资调整，导致人员经费增加；二是因工作需要年内向财政厅申请相关经费。</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eastAsia="仿宋_GB2312" w:cs="仿宋_GB2312"/>
          <w:color w:val="auto"/>
          <w:sz w:val="32"/>
          <w:szCs w:val="32"/>
        </w:rPr>
      </w:pPr>
      <w:r>
        <w:rPr>
          <w:rFonts w:hint="eastAsia" w:ascii="宋体" w:hAnsi="宋体"/>
          <w:color w:val="auto"/>
          <w:sz w:val="24"/>
          <w:szCs w:val="24"/>
          <w:lang w:val="zh-CN"/>
        </w:rPr>
        <w:t>2022年度一般公共预算财政拨款支出685.40万元,较上年决算数增加111.55万元,增长19.44%。主要原因是</w:t>
      </w:r>
      <w:r>
        <w:rPr>
          <w:rFonts w:hint="eastAsia" w:ascii="宋体" w:hAnsi="宋体"/>
          <w:color w:val="auto"/>
          <w:sz w:val="24"/>
          <w:szCs w:val="24"/>
          <w:lang w:val="zh-CN" w:eastAsia="zh-CN"/>
        </w:rPr>
        <w:t>一是本年度新招录人员，且在职人员工资调整，导致人员经费增加</w:t>
      </w:r>
      <w:r>
        <w:rPr>
          <w:rFonts w:hint="eastAsia" w:ascii="宋体" w:hAnsi="宋体"/>
          <w:color w:val="auto"/>
          <w:sz w:val="24"/>
          <w:szCs w:val="24"/>
          <w:lang w:val="zh-CN"/>
        </w:rPr>
        <w:t>；</w:t>
      </w:r>
      <w:r>
        <w:rPr>
          <w:rFonts w:hint="eastAsia" w:ascii="宋体" w:hAnsi="宋体"/>
          <w:color w:val="auto"/>
          <w:sz w:val="24"/>
          <w:szCs w:val="24"/>
          <w:lang w:val="zh-CN" w:eastAsia="zh-CN"/>
        </w:rPr>
        <w:t>二是因工作需要年内向财政厅申请相关经费</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．一般公共服务支出</w:t>
      </w:r>
      <w:r>
        <w:rPr>
          <w:rFonts w:hint="eastAsia" w:ascii="宋体" w:hAnsi="宋体"/>
          <w:color w:val="auto"/>
          <w:sz w:val="24"/>
          <w:szCs w:val="24"/>
          <w:lang w:val="zh-CN"/>
        </w:rPr>
        <w:t>年初预算数为493.65万元,支出决算为573.97万元,完成年初预算的116.27%,决算数大于预算数的主要原因是年中因工作需要向财政厅申请换届会议费及中央补助等费用。</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Times New Roman" w:hAnsi="Times New Roman"/>
          <w:b/>
          <w:color w:val="auto"/>
          <w:sz w:val="24"/>
          <w:szCs w:val="24"/>
          <w:lang w:val="en-US" w:eastAsia="zh-CN"/>
        </w:rPr>
        <w:t>2</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年初预算数为46.02万元,支出决算为52.64万元,完成年初预算的114.39%,决算数大于预算数的主要原因是年中向财政厅申请调离人员职业年金。</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highlight w:val="red"/>
          <w:lang w:val="zh-CN"/>
        </w:rPr>
      </w:pPr>
      <w:r>
        <w:rPr>
          <w:rFonts w:hint="eastAsia" w:ascii="Times New Roman" w:hAnsi="Times New Roman"/>
          <w:b/>
          <w:color w:val="auto"/>
          <w:sz w:val="24"/>
          <w:szCs w:val="24"/>
          <w:lang w:val="en-US" w:eastAsia="zh-CN"/>
        </w:rPr>
        <w:t>3</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年初预算数为26.24万元,支出决算为26.24万元,完成年初预算的100%,无变化。</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Times New Roman" w:hAnsi="Times New Roman"/>
          <w:b/>
          <w:color w:val="auto"/>
          <w:sz w:val="24"/>
          <w:szCs w:val="24"/>
          <w:lang w:val="en-US" w:eastAsia="zh-CN"/>
        </w:rPr>
        <w:t>4</w:t>
      </w:r>
      <w:r>
        <w:rPr>
          <w:rFonts w:hint="eastAsia" w:ascii="宋体" w:hAnsi="宋体"/>
          <w:b/>
          <w:color w:val="auto"/>
          <w:sz w:val="24"/>
          <w:szCs w:val="24"/>
          <w:lang w:val="zh-CN"/>
        </w:rPr>
        <w:t>．住房保障支出</w:t>
      </w:r>
      <w:r>
        <w:rPr>
          <w:rFonts w:hint="eastAsia" w:ascii="宋体" w:hAnsi="宋体"/>
          <w:color w:val="auto"/>
          <w:sz w:val="24"/>
          <w:szCs w:val="24"/>
          <w:lang w:val="zh-CN"/>
        </w:rPr>
        <w:t>年初预算数为32.54万元,支出决算为32.54万元,完成年初预算的100%,无变化。</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2022年度一般公共预算财政拨款基本支出586.94万元。其中：</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人员经费</w:t>
      </w:r>
      <w:r>
        <w:rPr>
          <w:rFonts w:hint="eastAsia" w:ascii="宋体" w:hAnsi="宋体"/>
          <w:color w:val="auto"/>
          <w:sz w:val="24"/>
          <w:szCs w:val="24"/>
          <w:lang w:val="zh-CN"/>
        </w:rPr>
        <w:t>499.51万元,较上年决算数增加114.85万元,增长29.86%,主要原因是一是本年度新招录人员，且在职人员工资调整，导致人员经费增加；二是年中向财政厅申请调离人员职业年金。人员经费用途主要包括基本工资、津贴补贴、奖金、社会保障缴费</w:t>
      </w:r>
      <w:r>
        <w:rPr>
          <w:rFonts w:hint="eastAsia" w:ascii="宋体" w:hAnsi="宋体"/>
          <w:color w:val="auto"/>
          <w:sz w:val="24"/>
          <w:szCs w:val="24"/>
          <w:lang w:val="zh-CN" w:eastAsia="zh-CN"/>
        </w:rPr>
        <w:t>、住房公积金等</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公用经费</w:t>
      </w:r>
      <w:r>
        <w:rPr>
          <w:rFonts w:hint="eastAsia" w:ascii="宋体" w:hAnsi="宋体"/>
          <w:color w:val="auto"/>
          <w:sz w:val="24"/>
          <w:szCs w:val="24"/>
          <w:lang w:val="zh-CN"/>
        </w:rPr>
        <w:t>87.43万元,较上年决算数减少19.43万元,下降18.18%,主要原因是本年度受新冠肺炎疫情影响，减少了</w:t>
      </w:r>
      <w:r>
        <w:rPr>
          <w:rFonts w:hint="eastAsia" w:ascii="宋体" w:hAnsi="宋体"/>
          <w:color w:val="auto"/>
          <w:sz w:val="24"/>
          <w:szCs w:val="24"/>
          <w:lang w:val="zh-CN" w:eastAsia="zh-CN"/>
        </w:rPr>
        <w:t>调研、培训</w:t>
      </w:r>
      <w:r>
        <w:rPr>
          <w:rFonts w:hint="eastAsia" w:ascii="宋体" w:hAnsi="宋体"/>
          <w:color w:val="auto"/>
          <w:sz w:val="24"/>
          <w:szCs w:val="24"/>
          <w:lang w:val="zh-CN"/>
        </w:rPr>
        <w:t>等支出计划安排，且严格落实省委省政府过“紧日子”要求。公用经费用途主要包括办公费、印刷费</w:t>
      </w:r>
      <w:r>
        <w:rPr>
          <w:rFonts w:hint="eastAsia" w:ascii="宋体" w:hAnsi="宋体"/>
          <w:color w:val="auto"/>
          <w:sz w:val="24"/>
          <w:szCs w:val="24"/>
          <w:lang w:val="zh-CN" w:eastAsia="zh-CN"/>
        </w:rPr>
        <w:t>、差旅费、公务用车运行维护费等</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en-US"/>
        </w:rPr>
        <w:t>七</w:t>
      </w:r>
      <w:r>
        <w:rPr>
          <w:rFonts w:hint="eastAsia" w:ascii="宋体" w:hAnsi="宋体"/>
          <w:color w:val="auto"/>
          <w:sz w:val="24"/>
          <w:szCs w:val="24"/>
          <w:lang w:val="zh-CN"/>
        </w:rPr>
        <w:t>、机关运行经费支出情况说明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本部门机关运行经费支出87.43万元,机关运行经费主要用于开支办公费、印刷费、差旅费、会议费、培训费、公务车运行维护费、公务接待费等。机关运行经费较上年决算数减少19.43万元,下降18.18%,主要原因是本年度受新冠肺炎疫情影响，减少了</w:t>
      </w:r>
      <w:r>
        <w:rPr>
          <w:rFonts w:hint="eastAsia" w:ascii="宋体" w:hAnsi="宋体"/>
          <w:color w:val="auto"/>
          <w:sz w:val="24"/>
          <w:szCs w:val="24"/>
          <w:lang w:val="zh-CN" w:eastAsia="zh-CN"/>
        </w:rPr>
        <w:t>调研、培训</w:t>
      </w:r>
      <w:r>
        <w:rPr>
          <w:rFonts w:hint="eastAsia" w:ascii="宋体" w:hAnsi="宋体"/>
          <w:color w:val="auto"/>
          <w:sz w:val="24"/>
          <w:szCs w:val="24"/>
          <w:lang w:val="zh-CN"/>
        </w:rPr>
        <w:t>等支出计划安排，且严格落实省委省政府过“紧日子”要求。</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本年度会议费支出46.51万元,较上年决算数增加26.32万元,增长130.3%,主要原因是本年度举办换届会议，会议规模较大导致费用增加。本年度培训费支出9.07万元,较上年决算数减少1.93万元,下降17.55%,主要原因是本年度受新冠肺炎疫情影响，减少了</w:t>
      </w:r>
      <w:r>
        <w:rPr>
          <w:rFonts w:hint="eastAsia" w:ascii="宋体" w:hAnsi="宋体"/>
          <w:color w:val="auto"/>
          <w:sz w:val="24"/>
          <w:szCs w:val="24"/>
          <w:lang w:val="zh-CN" w:eastAsia="zh-CN"/>
        </w:rPr>
        <w:t>培训</w:t>
      </w:r>
      <w:r>
        <w:rPr>
          <w:rFonts w:hint="eastAsia" w:ascii="宋体" w:hAnsi="宋体"/>
          <w:color w:val="auto"/>
          <w:sz w:val="24"/>
          <w:szCs w:val="24"/>
          <w:lang w:val="zh-CN"/>
        </w:rPr>
        <w:t>支出计划安排。</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en-US"/>
        </w:rPr>
        <w:t>八</w:t>
      </w:r>
      <w:r>
        <w:rPr>
          <w:rFonts w:hint="eastAsia" w:ascii="宋体" w:hAnsi="宋体"/>
          <w:color w:val="auto"/>
          <w:sz w:val="24"/>
          <w:szCs w:val="24"/>
          <w:lang w:val="zh-CN"/>
        </w:rPr>
        <w:t>、政府采购支出情况说明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本部门政府采购支出合计12.09万元,其中：政府采购货物支出12.09万元、政府采购工程支出0万元、政府采购服务支出0万元。授予中小企业合同金额12.09万元,占政府采购支出总额的100%,其中：授予小微企业合同金额12.09万元,占政府采购支出总额的100%。</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en-US"/>
        </w:rPr>
        <w:t>九</w:t>
      </w:r>
      <w:r>
        <w:rPr>
          <w:rFonts w:hint="eastAsia" w:ascii="宋体" w:hAnsi="宋体"/>
          <w:color w:val="auto"/>
          <w:sz w:val="24"/>
          <w:szCs w:val="24"/>
          <w:lang w:val="zh-CN"/>
        </w:rPr>
        <w:t>、国有资产占用情况说明</w:t>
      </w:r>
    </w:p>
    <w:p>
      <w:pPr>
        <w:pageBreakBefore w:val="0"/>
        <w:widowControl/>
        <w:kinsoku/>
        <w:wordWrap/>
        <w:overflowPunct/>
        <w:topLinePunct w:val="0"/>
        <w:autoSpaceDE/>
        <w:autoSpaceDN/>
        <w:bidi w:val="0"/>
        <w:adjustRightInd/>
        <w:snapToGrid/>
        <w:spacing w:before="100" w:beforeLines="0" w:after="100" w:afterLines="0" w:line="400" w:lineRule="exact"/>
        <w:jc w:val="left"/>
        <w:textAlignment w:val="auto"/>
        <w:rPr>
          <w:rFonts w:hint="eastAsia" w:ascii="宋体" w:hAnsi="宋体"/>
          <w:color w:val="auto"/>
          <w:sz w:val="24"/>
          <w:szCs w:val="24"/>
          <w:lang w:val="zh-CN"/>
        </w:rPr>
      </w:pPr>
      <w:r>
        <w:rPr>
          <w:rFonts w:hint="eastAsia" w:ascii="宋体" w:hAnsi="宋体"/>
          <w:color w:val="auto"/>
          <w:sz w:val="24"/>
          <w:szCs w:val="24"/>
          <w:lang w:val="zh-CN"/>
        </w:rPr>
        <w:t>截至2022年12月31日,本部门共有车辆3辆,其中,副部(省)级及以上领导用车0辆、主要领导干部用车1辆、机要通信用车0辆、应急保障用车0辆、执法执勤用车0辆,特种专业技术用车0辆,离退休干部用车0辆,其他用车2辆,其他用车主要是用于</w:t>
      </w:r>
      <w:r>
        <w:rPr>
          <w:rFonts w:hint="eastAsia" w:ascii="宋体" w:hAnsi="宋体"/>
          <w:color w:val="auto"/>
          <w:sz w:val="24"/>
          <w:szCs w:val="24"/>
          <w:lang w:val="zh-CN" w:eastAsia="zh-CN"/>
        </w:rPr>
        <w:t>调研、民主监督、社会服务等工作</w:t>
      </w:r>
      <w:r>
        <w:rPr>
          <w:rFonts w:hint="eastAsia" w:ascii="宋体" w:hAnsi="宋体"/>
          <w:color w:val="auto"/>
          <w:sz w:val="24"/>
          <w:szCs w:val="24"/>
          <w:lang w:val="zh-CN"/>
        </w:rPr>
        <w:t>。单价100万元(含)以上设备0台(套)。</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十、政府性基金预算财政拨款收支决算情况说明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本部门2022年度无政府性基金收入,也没有使用政府性基金安排的支出。</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十</w:t>
      </w:r>
      <w:r>
        <w:rPr>
          <w:rFonts w:hint="eastAsia" w:ascii="宋体" w:hAnsi="宋体"/>
          <w:color w:val="auto"/>
          <w:sz w:val="24"/>
          <w:szCs w:val="24"/>
          <w:lang w:val="en-US"/>
        </w:rPr>
        <w:t>一</w:t>
      </w:r>
      <w:r>
        <w:rPr>
          <w:rFonts w:hint="eastAsia" w:ascii="宋体" w:hAnsi="宋体"/>
          <w:color w:val="auto"/>
          <w:sz w:val="24"/>
          <w:szCs w:val="24"/>
          <w:lang w:val="zh-CN"/>
        </w:rPr>
        <w:t>、国有资本经营预算财政拨款支出情况说明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本部门2022年度没有使用国有资本经营预算安排的支出。</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en-US"/>
        </w:rPr>
        <w:t>十二</w:t>
      </w:r>
      <w:r>
        <w:rPr>
          <w:rFonts w:hint="eastAsia" w:ascii="宋体" w:hAnsi="宋体"/>
          <w:color w:val="auto"/>
          <w:sz w:val="24"/>
          <w:szCs w:val="24"/>
          <w:lang w:val="zh-CN"/>
        </w:rPr>
        <w:t>、财政拨款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经费财政拨款支出总体情况说明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w:t>
      </w:r>
      <w:r>
        <w:rPr>
          <w:rFonts w:hint="eastAsia" w:ascii="宋体" w:hAnsi="宋体"/>
          <w:color w:val="auto"/>
          <w:sz w:val="24"/>
          <w:szCs w:val="24"/>
          <w:lang w:val="en-US"/>
        </w:rPr>
        <w:t>全年</w:t>
      </w:r>
      <w:r>
        <w:rPr>
          <w:rFonts w:hint="eastAsia" w:ascii="宋体" w:hAnsi="宋体"/>
          <w:color w:val="auto"/>
          <w:sz w:val="24"/>
          <w:szCs w:val="24"/>
          <w:lang w:val="zh-CN"/>
        </w:rPr>
        <w:t>预算数为12.00万元,支出决算为5.20万元,决算数小于预算数的主要原因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本年度受新冠肺炎疫情影响较大，减少了调研、民主监督、社会服务等相关支出计划；二是本年度受疫情持续影响民革中央、兄弟省委会减少了来甘调研等计划；三是本部门</w:t>
      </w:r>
      <w:r>
        <w:rPr>
          <w:rFonts w:hint="eastAsia" w:ascii="宋体" w:hAnsi="宋体"/>
          <w:color w:val="auto"/>
          <w:sz w:val="24"/>
          <w:szCs w:val="24"/>
          <w:lang w:val="zh-CN"/>
        </w:rPr>
        <w:t>严格执行省委省政府、省财政厅相关规定，厉行勤俭节约。</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减少4.68</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下降47.38</w:t>
      </w:r>
      <w:r>
        <w:rPr>
          <w:rFonts w:hint="eastAsia" w:ascii="宋体" w:hAnsi="宋体"/>
          <w:color w:val="auto"/>
          <w:sz w:val="24"/>
          <w:szCs w:val="24"/>
          <w:lang w:val="zh-CN"/>
        </w:rPr>
        <w:t>%</w:t>
      </w:r>
      <w:r>
        <w:rPr>
          <w:rFonts w:hint="eastAsia" w:ascii="宋体" w:hAnsi="宋体"/>
          <w:color w:val="auto"/>
          <w:sz w:val="24"/>
          <w:szCs w:val="24"/>
          <w:lang w:val="en-US"/>
        </w:rPr>
        <w:t>,主要原因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本年度受新冠肺炎疫情影响较大，减少了调研、民主监督、社会服务等相关支出计划；二是本年度受疫情持续影响民革中央、兄弟省委会减少了来甘调研等计划；三是本部门</w:t>
      </w:r>
      <w:r>
        <w:rPr>
          <w:rFonts w:hint="eastAsia" w:ascii="宋体" w:hAnsi="宋体"/>
          <w:color w:val="auto"/>
          <w:sz w:val="24"/>
          <w:szCs w:val="24"/>
          <w:lang w:val="zh-CN"/>
        </w:rPr>
        <w:t>严格执行省委省政府、省财政厅相关规定，厉行勤俭节约。</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(二)</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经费财政拨款支出决算具体情况说明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因公出国(境)费用</w:t>
      </w:r>
      <w:r>
        <w:rPr>
          <w:rFonts w:hint="eastAsia" w:ascii="宋体" w:hAnsi="宋体"/>
          <w:color w:val="auto"/>
          <w:sz w:val="24"/>
          <w:szCs w:val="24"/>
          <w:lang w:val="en-US"/>
        </w:rPr>
        <w:t>全年</w:t>
      </w:r>
      <w:r>
        <w:rPr>
          <w:rFonts w:hint="eastAsia" w:ascii="宋体" w:hAnsi="宋体"/>
          <w:color w:val="auto"/>
          <w:sz w:val="24"/>
          <w:szCs w:val="24"/>
          <w:lang w:val="zh-CN"/>
        </w:rPr>
        <w:t>预算数为0万元,支出决算为0万元,决算数等于预算数，无变化；</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无变化</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公务用车购置及运行维护费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预算数为12.00万元,支出决算为5.20万元,决算数小于预算数的主要原因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本年度受新冠肺炎疫情影响较大，减少了调研、民主监督、社会服务等相关支出计划；二是本部门</w:t>
      </w:r>
      <w:r>
        <w:rPr>
          <w:rFonts w:hint="eastAsia" w:ascii="宋体" w:hAnsi="宋体"/>
          <w:color w:val="auto"/>
          <w:sz w:val="24"/>
          <w:szCs w:val="24"/>
          <w:lang w:val="zh-CN"/>
        </w:rPr>
        <w:t>严格执行省委省政府、省财政厅相关规定，厉行勤俭节约</w:t>
      </w:r>
      <w:r>
        <w:rPr>
          <w:rFonts w:hint="eastAsia" w:ascii="宋体" w:hAnsi="宋体"/>
          <w:color w:val="auto"/>
          <w:sz w:val="24"/>
          <w:szCs w:val="24"/>
          <w:lang w:val="zh-CN" w:eastAsia="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减少3.96</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下降43.22</w:t>
      </w:r>
      <w:r>
        <w:rPr>
          <w:rFonts w:hint="eastAsia" w:ascii="宋体" w:hAnsi="宋体"/>
          <w:color w:val="auto"/>
          <w:sz w:val="24"/>
          <w:szCs w:val="24"/>
          <w:lang w:val="zh-CN"/>
        </w:rPr>
        <w:t>%</w:t>
      </w:r>
      <w:r>
        <w:rPr>
          <w:rFonts w:hint="eastAsia" w:ascii="宋体" w:hAnsi="宋体"/>
          <w:color w:val="auto"/>
          <w:sz w:val="24"/>
          <w:szCs w:val="24"/>
          <w:lang w:val="en-US"/>
        </w:rPr>
        <w:t>,主要原因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本年度受新冠肺炎疫情影响较大，减少了调研、民主监督、社会服务等相关支出计划；二是本部门</w:t>
      </w:r>
      <w:r>
        <w:rPr>
          <w:rFonts w:hint="eastAsia" w:ascii="宋体" w:hAnsi="宋体"/>
          <w:color w:val="auto"/>
          <w:sz w:val="24"/>
          <w:szCs w:val="24"/>
          <w:lang w:val="zh-CN"/>
        </w:rPr>
        <w:t>严格执行省委省政府、省财政厅相关规定，厉行勤俭节约。</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其中：公务用车购置费</w:t>
      </w:r>
      <w:r>
        <w:rPr>
          <w:rFonts w:hint="eastAsia" w:ascii="宋体" w:hAnsi="宋体"/>
          <w:color w:val="auto"/>
          <w:sz w:val="24"/>
          <w:szCs w:val="24"/>
          <w:lang w:val="en-US"/>
        </w:rPr>
        <w:t>全年</w:t>
      </w:r>
      <w:r>
        <w:rPr>
          <w:rFonts w:hint="eastAsia" w:ascii="宋体" w:hAnsi="宋体"/>
          <w:color w:val="auto"/>
          <w:sz w:val="24"/>
          <w:szCs w:val="24"/>
          <w:lang w:val="zh-CN"/>
        </w:rPr>
        <w:t>预算数为0万元,支出决算为0万元,决算数等于预算数，无变化；</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无变化</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公务用车运行维护费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预算数为12.00万元,支出决算为5.20万元,决算数小于预算数的主要原因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本年度受新冠肺炎疫情影响较大，减少了调研、民主监督、社会服务等相关支出计划；二是本部门</w:t>
      </w:r>
      <w:r>
        <w:rPr>
          <w:rFonts w:hint="eastAsia" w:ascii="宋体" w:hAnsi="宋体"/>
          <w:color w:val="auto"/>
          <w:sz w:val="24"/>
          <w:szCs w:val="24"/>
          <w:lang w:val="zh-CN"/>
        </w:rPr>
        <w:t>严格执行省委省政府、省财政厅相关规定，厉行勤俭节约</w:t>
      </w:r>
      <w:r>
        <w:rPr>
          <w:rFonts w:hint="eastAsia" w:ascii="宋体" w:hAnsi="宋体"/>
          <w:color w:val="auto"/>
          <w:sz w:val="24"/>
          <w:szCs w:val="24"/>
          <w:lang w:val="zh-CN" w:eastAsia="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减少3.96</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下降43.22</w:t>
      </w:r>
      <w:r>
        <w:rPr>
          <w:rFonts w:hint="eastAsia" w:ascii="宋体" w:hAnsi="宋体"/>
          <w:color w:val="auto"/>
          <w:sz w:val="24"/>
          <w:szCs w:val="24"/>
          <w:lang w:val="zh-CN"/>
        </w:rPr>
        <w:t>%</w:t>
      </w:r>
      <w:r>
        <w:rPr>
          <w:rFonts w:hint="eastAsia" w:ascii="宋体" w:hAnsi="宋体"/>
          <w:color w:val="auto"/>
          <w:sz w:val="24"/>
          <w:szCs w:val="24"/>
          <w:lang w:val="en-US"/>
        </w:rPr>
        <w:t>,主要原因</w:t>
      </w:r>
      <w:r>
        <w:rPr>
          <w:rFonts w:hint="eastAsia" w:ascii="宋体" w:hAnsi="宋体"/>
          <w:color w:val="auto"/>
          <w:sz w:val="24"/>
          <w:szCs w:val="24"/>
          <w:lang w:val="zh-CN" w:eastAsia="zh-CN"/>
        </w:rPr>
        <w:t>一</w:t>
      </w:r>
      <w:r>
        <w:rPr>
          <w:rFonts w:hint="eastAsia" w:ascii="宋体" w:hAnsi="宋体"/>
          <w:color w:val="auto"/>
          <w:sz w:val="24"/>
          <w:szCs w:val="24"/>
          <w:lang w:val="zh-CN"/>
        </w:rPr>
        <w:t>是</w:t>
      </w:r>
      <w:r>
        <w:rPr>
          <w:rFonts w:hint="eastAsia" w:ascii="宋体" w:hAnsi="宋体"/>
          <w:color w:val="auto"/>
          <w:sz w:val="24"/>
          <w:szCs w:val="24"/>
          <w:lang w:val="zh-CN" w:eastAsia="zh-CN"/>
        </w:rPr>
        <w:t>本年度受新冠肺炎疫情影响较大，减少了调研、民主监督、社会服务等相关支出计划；二是本部门</w:t>
      </w:r>
      <w:r>
        <w:rPr>
          <w:rFonts w:hint="eastAsia" w:ascii="宋体" w:hAnsi="宋体"/>
          <w:color w:val="auto"/>
          <w:sz w:val="24"/>
          <w:szCs w:val="24"/>
          <w:lang w:val="zh-CN"/>
        </w:rPr>
        <w:t>严格执行省委省政府、省财政厅相关规定，厉行</w:t>
      </w:r>
      <w:r>
        <w:rPr>
          <w:rFonts w:hint="eastAsia" w:ascii="宋体" w:hAnsi="宋体"/>
          <w:color w:val="auto"/>
          <w:sz w:val="24"/>
          <w:szCs w:val="24"/>
          <w:lang w:val="zh-CN" w:eastAsia="zh-CN"/>
        </w:rPr>
        <w:t>勤俭节约</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3.</w:t>
      </w:r>
      <w:r>
        <w:rPr>
          <w:rFonts w:hint="eastAsia" w:ascii="宋体" w:hAnsi="宋体"/>
          <w:b/>
          <w:color w:val="auto"/>
          <w:sz w:val="24"/>
          <w:szCs w:val="24"/>
          <w:lang w:val="zh-CN"/>
        </w:rPr>
        <w:t>公务接待费</w:t>
      </w:r>
      <w:r>
        <w:rPr>
          <w:rFonts w:hint="eastAsia" w:ascii="宋体" w:hAnsi="宋体"/>
          <w:color w:val="auto"/>
          <w:sz w:val="24"/>
          <w:szCs w:val="24"/>
          <w:lang w:val="en-US"/>
        </w:rPr>
        <w:t>全</w:t>
      </w:r>
      <w:r>
        <w:rPr>
          <w:rFonts w:hint="eastAsia" w:ascii="宋体" w:hAnsi="宋体"/>
          <w:color w:val="auto"/>
          <w:sz w:val="24"/>
          <w:szCs w:val="24"/>
          <w:lang w:val="zh-CN"/>
        </w:rPr>
        <w:t>年预算数为0万元,支出决算为0万元,决算数等于预算数，无变化；</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减少0.72</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下降100.0</w:t>
      </w:r>
      <w:r>
        <w:rPr>
          <w:rFonts w:hint="eastAsia" w:ascii="宋体" w:hAnsi="宋体"/>
          <w:color w:val="auto"/>
          <w:sz w:val="24"/>
          <w:szCs w:val="24"/>
          <w:lang w:val="zh-CN"/>
        </w:rPr>
        <w:t>%</w:t>
      </w:r>
      <w:r>
        <w:rPr>
          <w:rFonts w:hint="eastAsia" w:ascii="宋体" w:hAnsi="宋体"/>
          <w:color w:val="auto"/>
          <w:sz w:val="24"/>
          <w:szCs w:val="24"/>
          <w:lang w:val="en-US"/>
        </w:rPr>
        <w:t>,主要原因</w:t>
      </w:r>
      <w:r>
        <w:rPr>
          <w:rFonts w:hint="eastAsia" w:ascii="宋体" w:hAnsi="宋体"/>
          <w:color w:val="auto"/>
          <w:sz w:val="24"/>
          <w:szCs w:val="24"/>
          <w:lang w:val="en-US" w:eastAsia="zh-CN"/>
        </w:rPr>
        <w:t>是</w:t>
      </w:r>
      <w:r>
        <w:rPr>
          <w:rFonts w:hint="eastAsia" w:ascii="宋体" w:hAnsi="宋体"/>
          <w:color w:val="auto"/>
          <w:sz w:val="24"/>
          <w:szCs w:val="24"/>
          <w:lang w:val="en-US"/>
        </w:rPr>
        <w:t>本年度受疫情持续影响民革中央、兄弟省委会减少了来甘调研等计划</w:t>
      </w:r>
      <w:r>
        <w:rPr>
          <w:rFonts w:hint="eastAsia" w:ascii="宋体" w:hAnsi="宋体"/>
          <w:color w:val="auto"/>
          <w:sz w:val="24"/>
          <w:szCs w:val="24"/>
          <w:lang w:val="zh-CN"/>
        </w:rPr>
        <w:t>。</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(三)</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经费财政拨款支出决算实物量情况</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2022年度本部门</w:t>
      </w:r>
      <w:r>
        <w:rPr>
          <w:rFonts w:hint="eastAsia" w:ascii="宋体" w:hAnsi="宋体"/>
          <w:b/>
          <w:color w:val="auto"/>
          <w:sz w:val="24"/>
          <w:szCs w:val="24"/>
          <w:lang w:val="zh-CN"/>
        </w:rPr>
        <w:t>因公出国(境)</w:t>
      </w:r>
      <w:r>
        <w:rPr>
          <w:rFonts w:hint="eastAsia" w:ascii="宋体" w:hAnsi="宋体"/>
          <w:color w:val="auto"/>
          <w:sz w:val="24"/>
          <w:szCs w:val="24"/>
          <w:lang w:val="zh-CN"/>
        </w:rPr>
        <w:t>共计0个团组,0人；</w:t>
      </w:r>
      <w:r>
        <w:rPr>
          <w:rFonts w:hint="eastAsia" w:ascii="宋体" w:hAnsi="宋体"/>
          <w:b/>
          <w:color w:val="auto"/>
          <w:sz w:val="24"/>
          <w:szCs w:val="24"/>
          <w:lang w:val="zh-CN"/>
        </w:rPr>
        <w:t>公务用车购置</w:t>
      </w:r>
      <w:r>
        <w:rPr>
          <w:rFonts w:hint="eastAsia" w:ascii="宋体" w:hAnsi="宋体"/>
          <w:color w:val="auto"/>
          <w:sz w:val="24"/>
          <w:szCs w:val="24"/>
          <w:lang w:val="zh-CN"/>
        </w:rPr>
        <w:t>0辆,</w:t>
      </w:r>
      <w:r>
        <w:rPr>
          <w:rFonts w:hint="eastAsia" w:ascii="宋体" w:hAnsi="宋体"/>
          <w:b/>
          <w:color w:val="auto"/>
          <w:sz w:val="24"/>
          <w:szCs w:val="24"/>
          <w:lang w:val="zh-CN"/>
        </w:rPr>
        <w:t>公务用车保有量</w:t>
      </w:r>
      <w:r>
        <w:rPr>
          <w:rFonts w:hint="eastAsia" w:ascii="宋体" w:hAnsi="宋体"/>
          <w:color w:val="auto"/>
          <w:sz w:val="24"/>
          <w:szCs w:val="24"/>
          <w:lang w:val="zh-CN"/>
        </w:rPr>
        <w:t>为3辆；</w:t>
      </w:r>
      <w:r>
        <w:rPr>
          <w:rFonts w:hint="eastAsia" w:ascii="宋体" w:hAnsi="宋体"/>
          <w:b/>
          <w:color w:val="auto"/>
          <w:sz w:val="24"/>
          <w:szCs w:val="24"/>
          <w:lang w:val="zh-CN"/>
        </w:rPr>
        <w:t>国内公务接待</w:t>
      </w:r>
      <w:r>
        <w:rPr>
          <w:rFonts w:hint="eastAsia" w:ascii="宋体" w:hAnsi="宋体"/>
          <w:color w:val="auto"/>
          <w:sz w:val="24"/>
          <w:szCs w:val="24"/>
          <w:lang w:val="zh-CN"/>
        </w:rPr>
        <w:t>0批次0人,其中：</w:t>
      </w:r>
      <w:r>
        <w:rPr>
          <w:rFonts w:hint="eastAsia" w:ascii="宋体" w:hAnsi="宋体"/>
          <w:b/>
          <w:color w:val="auto"/>
          <w:sz w:val="24"/>
          <w:szCs w:val="24"/>
          <w:lang w:val="zh-CN"/>
        </w:rPr>
        <w:t>外事接待</w:t>
      </w:r>
      <w:r>
        <w:rPr>
          <w:rFonts w:hint="eastAsia" w:ascii="宋体" w:hAnsi="宋体"/>
          <w:color w:val="auto"/>
          <w:sz w:val="24"/>
          <w:szCs w:val="24"/>
          <w:lang w:val="zh-CN"/>
        </w:rPr>
        <w:t>0批次,0人；</w:t>
      </w:r>
      <w:r>
        <w:rPr>
          <w:rFonts w:hint="eastAsia" w:ascii="宋体" w:hAnsi="宋体"/>
          <w:b/>
          <w:color w:val="auto"/>
          <w:sz w:val="24"/>
          <w:szCs w:val="24"/>
          <w:lang w:val="zh-CN"/>
        </w:rPr>
        <w:t>国(境)外公务接待</w:t>
      </w:r>
      <w:r>
        <w:rPr>
          <w:rFonts w:hint="eastAsia" w:ascii="宋体" w:hAnsi="宋体"/>
          <w:color w:val="auto"/>
          <w:sz w:val="24"/>
          <w:szCs w:val="24"/>
          <w:lang w:val="zh-CN"/>
        </w:rPr>
        <w:t>0批次,0人。</w:t>
      </w:r>
    </w:p>
    <w:p>
      <w:pPr>
        <w:pageBreakBefore w:val="0"/>
        <w:widowControl/>
        <w:kinsoku/>
        <w:wordWrap/>
        <w:overflowPunct/>
        <w:topLinePunct w:val="0"/>
        <w:autoSpaceDE/>
        <w:autoSpaceDN/>
        <w:bidi w:val="0"/>
        <w:adjustRightInd/>
        <w:snapToGrid/>
        <w:spacing w:before="100" w:beforeLines="0" w:after="100" w:afterLines="0" w:line="400" w:lineRule="exact"/>
        <w:jc w:val="center"/>
        <w:textAlignment w:val="auto"/>
        <w:rPr>
          <w:rFonts w:hint="eastAsia" w:ascii="宋体" w:hAnsi="宋体"/>
          <w:b/>
          <w:color w:val="auto"/>
          <w:sz w:val="24"/>
          <w:szCs w:val="24"/>
          <w:lang w:val="zh-CN"/>
        </w:rPr>
      </w:pPr>
      <w:r>
        <w:rPr>
          <w:rFonts w:hint="eastAsia" w:ascii="宋体" w:hAnsi="宋体"/>
          <w:b/>
          <w:color w:val="auto"/>
          <w:sz w:val="24"/>
          <w:szCs w:val="24"/>
          <w:lang w:val="zh-CN"/>
        </w:rPr>
        <w:t>第四部分预算绩效情况说明</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(一)预算绩效管理工作开展情况</w:t>
      </w:r>
    </w:p>
    <w:p>
      <w:pPr>
        <w:keepNext/>
        <w:keepLines/>
        <w:pageBreakBefore w:val="0"/>
        <w:widowControl/>
        <w:suppressLineNumbers/>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000000"/>
          <w:kern w:val="0"/>
          <w:sz w:val="24"/>
          <w:szCs w:val="24"/>
          <w:lang w:val="en-US"/>
        </w:rPr>
        <w:t>根据预算绩效管理要求,本部门对2022年度一般公共预算项目支出全面开展绩效自评,其中,</w:t>
      </w:r>
      <w:r>
        <w:rPr>
          <w:rFonts w:hint="eastAsia" w:ascii="宋体" w:hAnsi="宋体"/>
          <w:color w:val="000000"/>
          <w:kern w:val="0"/>
          <w:sz w:val="24"/>
          <w:szCs w:val="24"/>
          <w:lang w:val="en-US" w:eastAsia="zh-CN"/>
        </w:rPr>
        <w:t>二</w:t>
      </w:r>
      <w:r>
        <w:rPr>
          <w:rFonts w:hint="eastAsia" w:ascii="宋体" w:hAnsi="宋体"/>
          <w:color w:val="000000"/>
          <w:kern w:val="0"/>
          <w:sz w:val="24"/>
          <w:szCs w:val="24"/>
          <w:lang w:val="en-US"/>
        </w:rPr>
        <w:t>级</w:t>
      </w:r>
      <w:r>
        <w:rPr>
          <w:rFonts w:hint="eastAsia" w:ascii="宋体" w:hAnsi="宋体"/>
          <w:color w:val="auto"/>
          <w:kern w:val="0"/>
          <w:sz w:val="24"/>
          <w:szCs w:val="24"/>
          <w:lang w:val="en-US"/>
        </w:rPr>
        <w:t>项目</w:t>
      </w:r>
      <w:r>
        <w:rPr>
          <w:rFonts w:hint="eastAsia" w:ascii="宋体" w:hAnsi="宋体"/>
          <w:color w:val="auto"/>
          <w:kern w:val="0"/>
          <w:sz w:val="24"/>
          <w:szCs w:val="24"/>
          <w:lang w:val="en-US" w:eastAsia="zh-CN"/>
        </w:rPr>
        <w:t>1</w:t>
      </w:r>
      <w:r>
        <w:rPr>
          <w:rFonts w:hint="eastAsia" w:ascii="宋体" w:hAnsi="宋体"/>
          <w:color w:val="auto"/>
          <w:kern w:val="0"/>
          <w:sz w:val="24"/>
          <w:szCs w:val="24"/>
          <w:lang w:val="en-US"/>
        </w:rPr>
        <w:t>个,共涉及资金</w:t>
      </w:r>
      <w:r>
        <w:rPr>
          <w:rFonts w:hint="eastAsia" w:ascii="宋体" w:hAnsi="宋体"/>
          <w:color w:val="auto"/>
          <w:kern w:val="0"/>
          <w:sz w:val="24"/>
          <w:szCs w:val="24"/>
          <w:lang w:val="en-US" w:eastAsia="zh-CN"/>
        </w:rPr>
        <w:t>98.45</w:t>
      </w:r>
      <w:r>
        <w:rPr>
          <w:rFonts w:hint="eastAsia" w:ascii="宋体" w:hAnsi="宋体"/>
          <w:color w:val="auto"/>
          <w:kern w:val="0"/>
          <w:sz w:val="24"/>
          <w:szCs w:val="24"/>
          <w:lang w:val="en-US"/>
        </w:rPr>
        <w:t>万元,占一般公共预算项目支出总额的</w:t>
      </w:r>
      <w:r>
        <w:rPr>
          <w:rFonts w:hint="eastAsia" w:ascii="宋体" w:hAnsi="宋体"/>
          <w:color w:val="auto"/>
          <w:kern w:val="0"/>
          <w:sz w:val="24"/>
          <w:szCs w:val="24"/>
          <w:lang w:val="en-US" w:eastAsia="zh-CN"/>
        </w:rPr>
        <w:t>100%。无政府性基金预算项目，无国有资本经营预算项目。组织对</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主委特别费、培训费、调研费、业务费</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1个项目开展了部门评价,涉及一般公共预算支出98.45万元，从评价情况来看,从评价情况来看，项目支出自评结果为“优秀”，财政部门对本部门项目支出总体评价为“优秀”，根据财政部门反馈意见已修改完善（详见附件《2022年中国国民党革命委员会甘肃省委员会部门预算项目支出绩效</w:t>
      </w:r>
      <w:r>
        <w:rPr>
          <w:rFonts w:hint="eastAsia" w:ascii="宋体" w:hAnsi="宋体"/>
          <w:color w:val="auto"/>
          <w:kern w:val="0"/>
          <w:sz w:val="24"/>
          <w:szCs w:val="24"/>
          <w:lang w:val="en-US"/>
        </w:rPr>
        <w:t>自评表》）。组织对“中国国民党革命委员会甘肃省委员会”1个单位开展整体支出绩效</w:t>
      </w:r>
      <w:r>
        <w:rPr>
          <w:rFonts w:hint="eastAsia" w:ascii="宋体" w:hAnsi="宋体"/>
          <w:color w:val="auto"/>
          <w:kern w:val="0"/>
          <w:sz w:val="24"/>
          <w:szCs w:val="24"/>
          <w:lang w:val="en-US" w:eastAsia="zh-CN"/>
        </w:rPr>
        <w:t>自评</w:t>
      </w:r>
      <w:r>
        <w:rPr>
          <w:rFonts w:hint="eastAsia" w:ascii="宋体" w:hAnsi="宋体"/>
          <w:color w:val="auto"/>
          <w:kern w:val="0"/>
          <w:sz w:val="24"/>
          <w:szCs w:val="24"/>
          <w:lang w:val="en-US"/>
        </w:rPr>
        <w:t>，涉及一般公共预算支出</w:t>
      </w:r>
      <w:r>
        <w:rPr>
          <w:rFonts w:hint="eastAsia" w:ascii="宋体" w:hAnsi="宋体"/>
          <w:color w:val="auto"/>
          <w:kern w:val="0"/>
          <w:sz w:val="24"/>
          <w:szCs w:val="24"/>
          <w:lang w:val="en-US" w:eastAsia="zh-CN"/>
        </w:rPr>
        <w:t>685.40</w:t>
      </w:r>
      <w:r>
        <w:rPr>
          <w:rFonts w:hint="eastAsia" w:ascii="宋体" w:hAnsi="宋体"/>
          <w:color w:val="auto"/>
          <w:kern w:val="0"/>
          <w:sz w:val="24"/>
          <w:szCs w:val="24"/>
          <w:lang w:val="en-US"/>
        </w:rPr>
        <w:t>万元。从评价情况来看，整体支出自评结果为“优秀”，财政部门对</w:t>
      </w:r>
      <w:r>
        <w:rPr>
          <w:rFonts w:hint="eastAsia" w:ascii="宋体" w:hAnsi="宋体"/>
          <w:color w:val="auto"/>
          <w:kern w:val="0"/>
          <w:sz w:val="24"/>
          <w:szCs w:val="24"/>
          <w:lang w:val="en-US" w:eastAsia="zh-CN"/>
        </w:rPr>
        <w:t>本部门整体</w:t>
      </w:r>
      <w:r>
        <w:rPr>
          <w:rFonts w:hint="eastAsia" w:ascii="宋体" w:hAnsi="宋体"/>
          <w:color w:val="auto"/>
          <w:kern w:val="0"/>
          <w:sz w:val="24"/>
          <w:szCs w:val="24"/>
          <w:lang w:val="en-US"/>
        </w:rPr>
        <w:t>支出总体评价为“良好”，根据财政部门反馈意见已修改完善（详见附件《202</w:t>
      </w:r>
      <w:r>
        <w:rPr>
          <w:rFonts w:hint="eastAsia" w:ascii="宋体" w:hAnsi="宋体"/>
          <w:color w:val="auto"/>
          <w:kern w:val="0"/>
          <w:sz w:val="24"/>
          <w:szCs w:val="24"/>
          <w:lang w:val="en-US" w:eastAsia="zh-CN"/>
        </w:rPr>
        <w:t>2</w:t>
      </w:r>
      <w:r>
        <w:rPr>
          <w:rFonts w:hint="eastAsia" w:ascii="宋体" w:hAnsi="宋体"/>
          <w:color w:val="auto"/>
          <w:kern w:val="0"/>
          <w:sz w:val="24"/>
          <w:szCs w:val="24"/>
          <w:lang w:val="en-US"/>
        </w:rPr>
        <w:t>年中国国民党革命委员会甘肃省委员会</w:t>
      </w:r>
      <w:r>
        <w:rPr>
          <w:rFonts w:hint="eastAsia" w:ascii="宋体" w:hAnsi="宋体"/>
          <w:color w:val="auto"/>
          <w:kern w:val="0"/>
          <w:sz w:val="24"/>
          <w:szCs w:val="24"/>
          <w:lang w:val="en-US" w:eastAsia="zh-CN"/>
        </w:rPr>
        <w:t>部门</w:t>
      </w:r>
      <w:r>
        <w:rPr>
          <w:rFonts w:hint="eastAsia" w:ascii="宋体" w:hAnsi="宋体"/>
          <w:color w:val="auto"/>
          <w:kern w:val="0"/>
          <w:sz w:val="24"/>
          <w:szCs w:val="24"/>
          <w:lang w:val="en-US"/>
        </w:rPr>
        <w:t>整体支出绩效自评表》）。</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(二)绩效自评结果</w:t>
      </w:r>
    </w:p>
    <w:p>
      <w:pPr>
        <w:pageBreakBefore w:val="0"/>
        <w:widowControl/>
        <w:kinsoku/>
        <w:wordWrap/>
        <w:overflowPunct/>
        <w:topLinePunct w:val="0"/>
        <w:autoSpaceDE/>
        <w:autoSpaceDN/>
        <w:bidi w:val="0"/>
        <w:adjustRightInd/>
        <w:snapToGrid/>
        <w:spacing w:before="100" w:beforeLines="0" w:after="100" w:afterLines="0" w:line="400" w:lineRule="exact"/>
        <w:ind w:firstLine="480" w:firstLineChars="200"/>
        <w:jc w:val="left"/>
        <w:textAlignment w:val="auto"/>
        <w:rPr>
          <w:rFonts w:hint="eastAsia" w:ascii="宋体" w:hAnsi="宋体"/>
          <w:color w:val="auto"/>
          <w:sz w:val="24"/>
          <w:szCs w:val="24"/>
          <w:lang w:val="zh-CN"/>
        </w:rPr>
      </w:pPr>
      <w:r>
        <w:rPr>
          <w:rFonts w:hint="eastAsia" w:ascii="宋体" w:hAnsi="宋体"/>
          <w:color w:val="auto"/>
          <w:sz w:val="24"/>
          <w:szCs w:val="24"/>
          <w:lang w:val="zh-CN"/>
        </w:rPr>
        <w:t>1.绩效目标自评表</w:t>
      </w:r>
    </w:p>
    <w:p>
      <w:pPr>
        <w:keepNext/>
        <w:keepLines/>
        <w:pageBreakBefore w:val="0"/>
        <w:widowControl/>
        <w:suppressLineNumbers/>
        <w:kinsoku/>
        <w:wordWrap/>
        <w:overflowPunct/>
        <w:topLinePunct w:val="0"/>
        <w:autoSpaceDE/>
        <w:autoSpaceDN/>
        <w:bidi w:val="0"/>
        <w:adjustRightInd/>
        <w:snapToGrid/>
        <w:spacing w:beforeLines="0" w:afterLines="0" w:line="400" w:lineRule="exact"/>
        <w:jc w:val="lef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rPr>
        <w:t>我部门在2022年度部门决算中</w:t>
      </w:r>
      <w:r>
        <w:rPr>
          <w:rFonts w:hint="eastAsia" w:ascii="宋体" w:hAnsi="宋体"/>
          <w:color w:val="auto"/>
          <w:kern w:val="0"/>
          <w:sz w:val="24"/>
          <w:szCs w:val="24"/>
          <w:lang w:val="en-US" w:eastAsia="zh-CN"/>
        </w:rPr>
        <w:t>反映主委特别费、培训费、调研费、业务费1个项目绩效自评结果。主委特别费、培训费、调研费、业务费项目绩效自评情况：根据年初设定的绩效目标,项目绩效自评得分为94.59分。项目全年预算数为126.02万元,执行数为98.45万元,完成预算的78.12%。项目绩效目标完成情况：一是组织培训1次，参加培训人数53人；二是举办会议4次，会议参会人数300余人；三是开展各类各项调研5次；四是民主监督工作4次；五是展脱贫攻坚成果巩固与乡村振兴及其他社会服务工作4次；六是印刷各类刊物2400本；七是全年报送提案数量12篇、调研成果4篇。发现的主要问题及原因：培训次数及人数低于年初预期指标值；主要原因是本年度受疫情影响，减少了培训支出计划安排。下一步改进措施：在目标值设置合理的前提下，严格按照工作计划和年初预算安排工作。</w:t>
      </w:r>
    </w:p>
    <w:p>
      <w:pPr>
        <w:keepNext/>
        <w:keepLines/>
        <w:pageBreakBefore w:val="0"/>
        <w:widowControl/>
        <w:numPr>
          <w:ilvl w:val="0"/>
          <w:numId w:val="0"/>
        </w:numPr>
        <w:suppressLineNumbers/>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2.绩效自评报告</w:t>
      </w:r>
    </w:p>
    <w:p>
      <w:pPr>
        <w:keepNext/>
        <w:keepLines/>
        <w:pageBreakBefore w:val="0"/>
        <w:widowControl/>
        <w:numPr>
          <w:ilvl w:val="0"/>
          <w:numId w:val="0"/>
        </w:numPr>
        <w:suppressLineNumbers/>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(以附件形式附后)</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(三)部门绩效评价结果</w:t>
      </w:r>
    </w:p>
    <w:p>
      <w:pPr>
        <w:pageBreakBefore w:val="0"/>
        <w:widowControl/>
        <w:kinsoku/>
        <w:wordWrap/>
        <w:overflowPunct/>
        <w:topLinePunct w:val="0"/>
        <w:autoSpaceDE/>
        <w:autoSpaceDN/>
        <w:bidi w:val="0"/>
        <w:adjustRightInd/>
        <w:snapToGrid/>
        <w:spacing w:before="100" w:beforeLines="0" w:after="100" w:afterLines="0" w:line="400" w:lineRule="exact"/>
        <w:jc w:val="left"/>
        <w:textAlignment w:val="auto"/>
        <w:rPr>
          <w:rFonts w:hint="eastAsia" w:ascii="宋体" w:hAnsi="宋体"/>
          <w:color w:val="000000"/>
          <w:kern w:val="0"/>
          <w:sz w:val="24"/>
          <w:szCs w:val="24"/>
          <w:lang w:val="en-US" w:eastAsia="zh-CN"/>
        </w:rPr>
      </w:pPr>
      <w:r>
        <w:rPr>
          <w:rStyle w:val="6"/>
          <w:rFonts w:hint="eastAsia" w:ascii="仿宋_GB2312" w:hAnsi="仿宋_GB2312" w:eastAsia="仿宋_GB2312" w:cs="仿宋_GB2312"/>
          <w:b w:val="0"/>
          <w:bCs w:val="0"/>
          <w:color w:val="auto"/>
          <w:sz w:val="32"/>
          <w:szCs w:val="32"/>
          <w:lang w:val="en-US" w:eastAsia="zh-CN"/>
        </w:rPr>
        <w:t xml:space="preserve">    </w:t>
      </w:r>
      <w:r>
        <w:rPr>
          <w:rFonts w:hint="eastAsia" w:ascii="宋体" w:hAnsi="宋体"/>
          <w:color w:val="auto"/>
          <w:kern w:val="0"/>
          <w:sz w:val="24"/>
          <w:szCs w:val="24"/>
          <w:lang w:val="en-US" w:eastAsia="zh-CN"/>
        </w:rPr>
        <w:t>根据预算绩效管理要求，本部门对1个项目开展了绩效自评，其中，以填报目标自评表形式开展自评1项，涉及资金98.45万元，占一般</w:t>
      </w:r>
      <w:r>
        <w:rPr>
          <w:rFonts w:hint="eastAsia" w:ascii="宋体" w:hAnsi="宋体"/>
          <w:color w:val="000000"/>
          <w:kern w:val="0"/>
          <w:sz w:val="24"/>
          <w:szCs w:val="24"/>
          <w:lang w:val="en-US" w:eastAsia="zh-CN"/>
        </w:rPr>
        <w:t>公共预算项目支出总额的 100%。从评价情况来看，主委特别费、培训费、调研费、业务费等1个项目自评结果财政厅绩效考核结果为“优秀”。绩效评价报告及表附后向社会公开。</w:t>
      </w:r>
    </w:p>
    <w:p>
      <w:pPr>
        <w:pageBreakBefore w:val="0"/>
        <w:widowControl/>
        <w:kinsoku/>
        <w:wordWrap/>
        <w:overflowPunct/>
        <w:topLinePunct w:val="0"/>
        <w:autoSpaceDE/>
        <w:autoSpaceDN/>
        <w:bidi w:val="0"/>
        <w:adjustRightInd/>
        <w:snapToGrid/>
        <w:spacing w:before="100" w:beforeLines="0" w:after="100" w:afterLines="0" w:line="400" w:lineRule="exact"/>
        <w:jc w:val="center"/>
        <w:textAlignment w:val="auto"/>
        <w:rPr>
          <w:rFonts w:hint="eastAsia" w:ascii="宋体" w:hAnsi="宋体"/>
          <w:color w:val="auto"/>
          <w:sz w:val="24"/>
          <w:szCs w:val="24"/>
          <w:lang w:val="zh-CN"/>
        </w:rPr>
      </w:pPr>
      <w:r>
        <w:rPr>
          <w:rFonts w:hint="eastAsia" w:ascii="宋体" w:hAnsi="宋体"/>
          <w:b/>
          <w:color w:val="auto"/>
          <w:sz w:val="24"/>
          <w:szCs w:val="24"/>
          <w:lang w:val="zh-CN"/>
        </w:rPr>
        <w:t>第五部分名词解释</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一、财政拨款收入</w:t>
      </w:r>
      <w:r>
        <w:rPr>
          <w:rFonts w:hint="eastAsia" w:ascii="宋体" w:hAnsi="宋体"/>
          <w:color w:val="auto"/>
          <w:sz w:val="24"/>
          <w:szCs w:val="24"/>
          <w:lang w:val="zh-CN"/>
        </w:rPr>
        <w:t>：指本年度从本级财政部门取得的财政拨款,包括一般公共预算财政拨款和政府性基金预算财政拨款。</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二、事业收入</w:t>
      </w:r>
      <w:r>
        <w:rPr>
          <w:rFonts w:hint="eastAsia" w:ascii="宋体" w:hAnsi="宋体"/>
          <w:color w:val="auto"/>
          <w:sz w:val="24"/>
          <w:szCs w:val="24"/>
          <w:lang w:val="zh-CN"/>
        </w:rPr>
        <w:t>：指事业单位开展专业业务活动及其辅助活动取得的现金流入；事业单位收到的财政专户实际核拨的教育收费等资金在此反映。</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三、经营收入</w:t>
      </w:r>
      <w:r>
        <w:rPr>
          <w:rFonts w:hint="eastAsia" w:ascii="宋体" w:hAnsi="宋体"/>
          <w:color w:val="auto"/>
          <w:sz w:val="24"/>
          <w:szCs w:val="24"/>
          <w:lang w:val="zh-CN"/>
        </w:rPr>
        <w:t>：指事业单位在专业业务活动及其辅助活动之外开展非独立核算经营活动取得的现金流入。</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四、其他收入</w:t>
      </w:r>
      <w:r>
        <w:rPr>
          <w:rFonts w:hint="eastAsia" w:ascii="宋体" w:hAnsi="宋体"/>
          <w:color w:val="auto"/>
          <w:sz w:val="24"/>
          <w:szCs w:val="24"/>
          <w:lang w:val="zh-CN"/>
        </w:rPr>
        <w:t>：指单位取得的除</w:t>
      </w:r>
      <w:r>
        <w:rPr>
          <w:rFonts w:hint="default" w:ascii="宋体" w:hAnsi="宋体"/>
          <w:color w:val="auto"/>
          <w:sz w:val="24"/>
          <w:szCs w:val="24"/>
          <w:lang w:val="zh-CN"/>
        </w:rPr>
        <w:t>“</w:t>
      </w:r>
      <w:r>
        <w:rPr>
          <w:rFonts w:hint="eastAsia" w:ascii="宋体" w:hAnsi="宋体"/>
          <w:color w:val="auto"/>
          <w:sz w:val="24"/>
          <w:szCs w:val="24"/>
          <w:lang w:val="zh-CN"/>
        </w:rPr>
        <w:t>财政拨款收入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事业收入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经营收入</w:t>
      </w:r>
      <w:r>
        <w:rPr>
          <w:rFonts w:hint="default" w:ascii="宋体" w:hAnsi="宋体"/>
          <w:color w:val="auto"/>
          <w:sz w:val="24"/>
          <w:szCs w:val="24"/>
          <w:lang w:val="zh-CN"/>
        </w:rPr>
        <w:t>”</w:t>
      </w:r>
      <w:r>
        <w:rPr>
          <w:rFonts w:hint="eastAsia" w:ascii="宋体" w:hAnsi="宋体"/>
          <w:color w:val="auto"/>
          <w:sz w:val="24"/>
          <w:szCs w:val="24"/>
          <w:lang w:val="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五、年初结转和结余</w:t>
      </w:r>
      <w:r>
        <w:rPr>
          <w:rFonts w:hint="eastAsia" w:ascii="宋体" w:hAnsi="宋体"/>
          <w:color w:val="auto"/>
          <w:sz w:val="24"/>
          <w:szCs w:val="24"/>
          <w:lang w:val="zh-CN"/>
        </w:rPr>
        <w:t>：指单位上年结转本年使用的基本支出结转、项目支出结转和结余、经营结余。</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六、结余分配</w:t>
      </w:r>
      <w:r>
        <w:rPr>
          <w:rFonts w:hint="eastAsia" w:ascii="宋体" w:hAnsi="宋体"/>
          <w:color w:val="auto"/>
          <w:sz w:val="24"/>
          <w:szCs w:val="24"/>
          <w:lang w:val="zh-CN"/>
        </w:rPr>
        <w:t>：指单位按照国家有关规定,缴纳所得税、提取专用基金、转入事业基金等当年结余的分配情况。</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七、年末结转和结余</w:t>
      </w:r>
      <w:r>
        <w:rPr>
          <w:rFonts w:hint="eastAsia" w:ascii="宋体" w:hAnsi="宋体"/>
          <w:color w:val="auto"/>
          <w:sz w:val="24"/>
          <w:szCs w:val="24"/>
          <w:lang w:val="zh-CN"/>
        </w:rPr>
        <w:t>：指单位结转下年的基本支出结转、项目支出结转和结余、经营结余。</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八、基本支出</w:t>
      </w:r>
      <w:r>
        <w:rPr>
          <w:rFonts w:hint="eastAsia" w:ascii="宋体" w:hAnsi="宋体"/>
          <w:color w:val="auto"/>
          <w:sz w:val="24"/>
          <w:szCs w:val="24"/>
          <w:lang w:val="zh-CN"/>
        </w:rPr>
        <w:t>：指为保障机构正常运转、完成日常工作任务而发生的人员经费和公用经费。其中：人员经费指政府收支分类经济科目中的</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；公用经费指政府收支分类经济科目中除</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外的其他支出。</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九、项目支出</w:t>
      </w:r>
      <w:r>
        <w:rPr>
          <w:rFonts w:hint="eastAsia" w:ascii="宋体" w:hAnsi="宋体"/>
          <w:color w:val="auto"/>
          <w:sz w:val="24"/>
          <w:szCs w:val="24"/>
          <w:lang w:val="zh-CN"/>
        </w:rPr>
        <w:t>：指在基本支出之外为完成特定行政任务和事业发展目标所发生的支出。</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十、经营支出</w:t>
      </w:r>
      <w:r>
        <w:rPr>
          <w:rFonts w:hint="eastAsia" w:ascii="宋体" w:hAnsi="宋体"/>
          <w:color w:val="auto"/>
          <w:sz w:val="24"/>
          <w:szCs w:val="24"/>
          <w:lang w:val="zh-CN"/>
        </w:rPr>
        <w:t>：指事业单位在专业业务活动及其辅助活动之外开展非独立核算经营活动发生的支出。</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rPr>
          <w:rFonts w:hint="eastAsia" w:ascii="宋体" w:hAnsi="宋体"/>
          <w:color w:val="auto"/>
          <w:sz w:val="24"/>
          <w:szCs w:val="24"/>
          <w:lang w:val="zh-CN"/>
        </w:rPr>
      </w:pPr>
      <w:r>
        <w:rPr>
          <w:rFonts w:hint="eastAsia" w:ascii="宋体" w:hAnsi="宋体"/>
          <w:b/>
          <w:color w:val="auto"/>
          <w:sz w:val="24"/>
          <w:szCs w:val="24"/>
          <w:lang w:val="zh-CN"/>
        </w:rPr>
        <w:t>十一、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w:t>
      </w:r>
      <w:r>
        <w:rPr>
          <w:rFonts w:hint="eastAsia" w:ascii="宋体" w:hAnsi="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ageBreakBefore w:val="0"/>
        <w:widowControl/>
        <w:kinsoku/>
        <w:wordWrap/>
        <w:overflowPunct/>
        <w:topLinePunct w:val="0"/>
        <w:autoSpaceDE/>
        <w:autoSpaceDN/>
        <w:bidi w:val="0"/>
        <w:adjustRightInd/>
        <w:snapToGrid/>
        <w:spacing w:before="100" w:beforeLines="0" w:after="100" w:afterLines="0" w:line="400" w:lineRule="exact"/>
        <w:ind w:firstLine="482" w:firstLineChars="200"/>
        <w:jc w:val="left"/>
        <w:textAlignment w:val="auto"/>
      </w:pPr>
      <w:r>
        <w:rPr>
          <w:rFonts w:hint="eastAsia" w:ascii="宋体" w:hAnsi="宋体"/>
          <w:b/>
          <w:color w:val="auto"/>
          <w:sz w:val="24"/>
          <w:szCs w:val="24"/>
          <w:lang w:val="zh-CN"/>
        </w:rPr>
        <w:t>十二、机关运行经费</w:t>
      </w:r>
      <w:r>
        <w:rPr>
          <w:rFonts w:hint="eastAsia" w:ascii="宋体" w:hAnsi="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pgSz w:w="12240" w:h="15840"/>
      <w:pgMar w:top="2098" w:right="1474" w:bottom="1984" w:left="15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zc0YzQ2MTRlMTExOGUyOGEyMzRkNGU3MTdjYjEifQ=="/>
  </w:docVars>
  <w:rsids>
    <w:rsidRoot w:val="00000000"/>
    <w:rsid w:val="1AEC4C8D"/>
    <w:rsid w:val="30304C28"/>
    <w:rsid w:val="33AA0E82"/>
    <w:rsid w:val="3E5B2500"/>
    <w:rsid w:val="4FBC7070"/>
    <w:rsid w:val="579A635E"/>
    <w:rsid w:val="581F1239"/>
    <w:rsid w:val="6ECC7FF3"/>
    <w:rsid w:val="74CF1A8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2.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5.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8.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Props1.xml><?xml version="1.0" encoding="utf-8"?>
<ds:datastoreItem xmlns:ds="http://schemas.openxmlformats.org/officeDocument/2006/customXml" ds:itemID="{f52b6f41-d3f2-46a2-996c-6eb5737368d6}">
  <ds:schemaRefs/>
</ds:datastoreItem>
</file>

<file path=customXml/itemProps2.xml><?xml version="1.0" encoding="utf-8"?>
<ds:datastoreItem xmlns:ds="http://schemas.openxmlformats.org/officeDocument/2006/customXml" ds:itemID="{19e15c27-0380-44a1-a246-abe20a65044f}">
  <ds:schemaRefs/>
</ds:datastoreItem>
</file>

<file path=customXml/itemProps3.xml><?xml version="1.0" encoding="utf-8"?>
<ds:datastoreItem xmlns:ds="http://schemas.openxmlformats.org/officeDocument/2006/customXml" ds:itemID="{208014f1-68db-49d9-b35f-ba62106b5211}">
  <ds:schemaRefs/>
</ds:datastoreItem>
</file>

<file path=customXml/itemProps4.xml><?xml version="1.0" encoding="utf-8"?>
<ds:datastoreItem xmlns:ds="http://schemas.openxmlformats.org/officeDocument/2006/customXml" ds:itemID="{642c3336-10f4-4261-a5fc-5ddf393532af}">
  <ds:schemaRefs/>
</ds:datastoreItem>
</file>

<file path=customXml/itemProps5.xml><?xml version="1.0" encoding="utf-8"?>
<ds:datastoreItem xmlns:ds="http://schemas.openxmlformats.org/officeDocument/2006/customXml" ds:itemID="{cf46f558-d48f-46b7-87e1-1e9b23d2e77b}">
  <ds:schemaRefs/>
</ds:datastoreItem>
</file>

<file path=customXml/itemProps6.xml><?xml version="1.0" encoding="utf-8"?>
<ds:datastoreItem xmlns:ds="http://schemas.openxmlformats.org/officeDocument/2006/customXml" ds:itemID="{50160901-4676-42c8-846b-cface89996c8}">
  <ds:schemaRefs/>
</ds:datastoreItem>
</file>

<file path=customXml/itemProps7.xml><?xml version="1.0" encoding="utf-8"?>
<ds:datastoreItem xmlns:ds="http://schemas.openxmlformats.org/officeDocument/2006/customXml" ds:itemID="{5e3d0e2e-46d7-44ab-a22e-6744bbeb2d9a}">
  <ds:schemaRefs/>
</ds:datastoreItem>
</file>

<file path=customXml/itemProps8.xml><?xml version="1.0" encoding="utf-8"?>
<ds:datastoreItem xmlns:ds="http://schemas.openxmlformats.org/officeDocument/2006/customXml" ds:itemID="{a3b64670-5e4f-482a-854c-c376fe58f274}">
  <ds:schemaRefs/>
</ds:datastoreItem>
</file>

<file path=customXml/itemProps9.xml><?xml version="1.0" encoding="utf-8"?>
<ds:datastoreItem xmlns:ds="http://schemas.openxmlformats.org/officeDocument/2006/customXml" ds:itemID="{0911a5ff-3212-494f-b0bf-88493c5886c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5718</Words>
  <Characters>6144</Characters>
  <Lines>0</Lines>
  <Paragraphs>0</Paragraphs>
  <TotalTime>25</TotalTime>
  <ScaleCrop>false</ScaleCrop>
  <LinksUpToDate>false</LinksUpToDate>
  <CharactersWithSpaces>6149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dell</cp:lastModifiedBy>
  <cp:lastPrinted>2023-08-24T00:49:45Z</cp:lastPrinted>
  <dcterms:modified xsi:type="dcterms:W3CDTF">2023-08-24T00:55:49Z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AB4E30AAEEE549DFB3A5CC421CF29FB5_12</vt:lpwstr>
  </property>
</Properties>
</file>